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C60" w:rsidRDefault="00680C60">
      <w:pPr>
        <w:pStyle w:val="af"/>
        <w:spacing w:before="0" w:after="0"/>
        <w:rPr>
          <w:sz w:val="36"/>
          <w:szCs w:val="36"/>
        </w:rPr>
      </w:pPr>
    </w:p>
    <w:p w:rsidR="00680C60" w:rsidRDefault="00462309">
      <w:pPr>
        <w:pStyle w:val="af"/>
        <w:spacing w:before="0" w:after="0" w:line="500" w:lineRule="exact"/>
        <w:rPr>
          <w:sz w:val="36"/>
          <w:szCs w:val="36"/>
        </w:rPr>
      </w:pPr>
      <w:r>
        <w:rPr>
          <w:rFonts w:hint="eastAsia"/>
          <w:sz w:val="36"/>
          <w:szCs w:val="36"/>
        </w:rPr>
        <w:t>河北省特种设备学会</w:t>
      </w:r>
      <w:r>
        <w:rPr>
          <w:rFonts w:hint="eastAsia"/>
          <w:sz w:val="36"/>
          <w:szCs w:val="36"/>
        </w:rPr>
        <w:t>团体标准</w:t>
      </w:r>
    </w:p>
    <w:p w:rsidR="00680C60" w:rsidRDefault="00462309">
      <w:pPr>
        <w:pStyle w:val="af"/>
        <w:spacing w:before="0" w:after="0" w:line="500" w:lineRule="exact"/>
        <w:rPr>
          <w:sz w:val="36"/>
          <w:szCs w:val="36"/>
        </w:rPr>
      </w:pPr>
      <w:r>
        <w:rPr>
          <w:rFonts w:hint="eastAsia"/>
          <w:sz w:val="36"/>
          <w:szCs w:val="36"/>
        </w:rPr>
        <w:t>《桥式和门式起重机械维护保养操作规程》</w:t>
      </w:r>
    </w:p>
    <w:p w:rsidR="00680C60" w:rsidRDefault="00462309">
      <w:pPr>
        <w:pStyle w:val="af"/>
        <w:spacing w:before="0" w:after="0" w:line="500" w:lineRule="exact"/>
        <w:rPr>
          <w:sz w:val="36"/>
          <w:szCs w:val="36"/>
        </w:rPr>
      </w:pPr>
      <w:r>
        <w:rPr>
          <w:rFonts w:hint="eastAsia"/>
          <w:sz w:val="36"/>
          <w:szCs w:val="36"/>
        </w:rPr>
        <w:t>编制说明</w:t>
      </w:r>
    </w:p>
    <w:p w:rsidR="00680C60" w:rsidRDefault="00680C60">
      <w:pPr>
        <w:pStyle w:val="af0"/>
        <w:ind w:firstLineChars="0" w:firstLine="0"/>
      </w:pPr>
    </w:p>
    <w:p w:rsidR="00680C60" w:rsidRDefault="00462309" w:rsidP="00462309">
      <w:pPr>
        <w:pStyle w:val="af0"/>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（一）任务来源</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本标准由河北省市场监督管理局提出，经河北省特种设备学会</w:t>
      </w:r>
      <w:r>
        <w:rPr>
          <w:rFonts w:ascii="仿宋_GB2312" w:eastAsia="仿宋_GB2312" w:hint="eastAsia"/>
          <w:sz w:val="28"/>
          <w:szCs w:val="28"/>
        </w:rPr>
        <w:t>批准，正式列入</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w:t>
      </w:r>
      <w:r>
        <w:rPr>
          <w:rFonts w:ascii="仿宋_GB2312" w:eastAsia="仿宋_GB2312" w:hint="eastAsia"/>
          <w:sz w:val="28"/>
          <w:szCs w:val="28"/>
        </w:rPr>
        <w:t>河北省特种设备学会</w:t>
      </w:r>
      <w:r>
        <w:rPr>
          <w:rFonts w:ascii="仿宋_GB2312" w:eastAsia="仿宋_GB2312" w:hint="eastAsia"/>
          <w:sz w:val="28"/>
          <w:szCs w:val="28"/>
        </w:rPr>
        <w:t>团体标准制修订计划，项目编号为JD202308</w:t>
      </w:r>
      <w:r>
        <w:rPr>
          <w:rFonts w:ascii="仿宋_GB2312" w:eastAsia="仿宋_GB2312" w:hint="eastAsia"/>
          <w:sz w:val="28"/>
          <w:szCs w:val="28"/>
        </w:rPr>
        <w:t>，项目名称为《桥式和门式起重机械维护保养操作规程》。</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本标准起草单位：河北省特种设备监督检验研究院。</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本标准主要起草人：</w:t>
      </w:r>
      <w:r>
        <w:rPr>
          <w:rFonts w:ascii="仿宋_GB2312" w:eastAsia="仿宋_GB2312" w:hint="eastAsia"/>
          <w:sz w:val="28"/>
          <w:szCs w:val="28"/>
        </w:rPr>
        <w:t>孟闯</w:t>
      </w:r>
      <w:r>
        <w:rPr>
          <w:rFonts w:ascii="仿宋_GB2312" w:eastAsia="仿宋_GB2312" w:hint="eastAsia"/>
          <w:sz w:val="28"/>
          <w:szCs w:val="28"/>
        </w:rPr>
        <w:t>、</w:t>
      </w:r>
      <w:r>
        <w:rPr>
          <w:rFonts w:ascii="仿宋_GB2312" w:eastAsia="仿宋_GB2312" w:hint="eastAsia"/>
          <w:sz w:val="28"/>
          <w:szCs w:val="28"/>
        </w:rPr>
        <w:t>王建龙</w:t>
      </w:r>
      <w:r>
        <w:rPr>
          <w:rFonts w:ascii="仿宋_GB2312" w:eastAsia="仿宋_GB2312" w:hint="eastAsia"/>
          <w:sz w:val="28"/>
          <w:szCs w:val="28"/>
        </w:rPr>
        <w:t>、</w:t>
      </w:r>
      <w:r>
        <w:rPr>
          <w:rFonts w:ascii="仿宋_GB2312" w:eastAsia="仿宋_GB2312" w:hint="eastAsia"/>
          <w:sz w:val="28"/>
          <w:szCs w:val="28"/>
        </w:rPr>
        <w:t>刘敬超</w:t>
      </w:r>
      <w:r>
        <w:rPr>
          <w:rFonts w:ascii="仿宋_GB2312" w:eastAsia="仿宋_GB2312" w:hint="eastAsia"/>
          <w:sz w:val="28"/>
          <w:szCs w:val="28"/>
        </w:rPr>
        <w:t>、</w:t>
      </w:r>
      <w:r>
        <w:rPr>
          <w:rFonts w:ascii="仿宋_GB2312" w:eastAsia="仿宋_GB2312" w:hint="eastAsia"/>
          <w:sz w:val="28"/>
          <w:szCs w:val="28"/>
        </w:rPr>
        <w:t>刘宗辉、王文海</w:t>
      </w:r>
      <w:r>
        <w:rPr>
          <w:rFonts w:ascii="仿宋_GB2312" w:eastAsia="仿宋_GB2312" w:hint="eastAsia"/>
          <w:sz w:val="28"/>
          <w:szCs w:val="28"/>
        </w:rPr>
        <w:t>、</w:t>
      </w:r>
      <w:r>
        <w:rPr>
          <w:rFonts w:ascii="仿宋_GB2312" w:eastAsia="仿宋_GB2312" w:hint="eastAsia"/>
          <w:sz w:val="28"/>
          <w:szCs w:val="28"/>
        </w:rPr>
        <w:t>刘婕</w:t>
      </w:r>
      <w:r>
        <w:rPr>
          <w:rFonts w:ascii="仿宋_GB2312" w:eastAsia="仿宋_GB2312" w:hint="eastAsia"/>
          <w:sz w:val="28"/>
          <w:szCs w:val="28"/>
        </w:rPr>
        <w:t>、</w:t>
      </w:r>
      <w:r>
        <w:rPr>
          <w:rFonts w:ascii="仿宋_GB2312" w:eastAsia="仿宋_GB2312" w:hint="eastAsia"/>
          <w:sz w:val="28"/>
          <w:szCs w:val="28"/>
        </w:rPr>
        <w:t>张炳吉、李剑、赵娜、毕毓彤、杨成光</w:t>
      </w:r>
      <w:r>
        <w:rPr>
          <w:rFonts w:ascii="仿宋_GB2312" w:eastAsia="仿宋_GB2312" w:hint="eastAsia"/>
          <w:sz w:val="28"/>
          <w:szCs w:val="28"/>
        </w:rPr>
        <w:t>。</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（二）制定背景</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目的</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为了规范</w:t>
      </w:r>
      <w:r>
        <w:rPr>
          <w:rFonts w:ascii="仿宋_GB2312" w:eastAsia="仿宋_GB2312" w:hint="eastAsia"/>
          <w:sz w:val="28"/>
          <w:szCs w:val="28"/>
        </w:rPr>
        <w:t>使用单位对桥式和门式起重机</w:t>
      </w:r>
      <w:proofErr w:type="gramStart"/>
      <w:r>
        <w:rPr>
          <w:rFonts w:ascii="仿宋_GB2312" w:eastAsia="仿宋_GB2312" w:hint="eastAsia"/>
          <w:sz w:val="28"/>
          <w:szCs w:val="28"/>
        </w:rPr>
        <w:t>械</w:t>
      </w:r>
      <w:proofErr w:type="gramEnd"/>
      <w:r>
        <w:rPr>
          <w:rFonts w:ascii="仿宋_GB2312" w:eastAsia="仿宋_GB2312" w:hint="eastAsia"/>
          <w:sz w:val="28"/>
          <w:szCs w:val="28"/>
        </w:rPr>
        <w:t>维护保养行为，提高起重机械维护保养服务质量，提升起重机械安全管理水平，预防和减少起重机械安全事故的发生，降低设备故障率，延长设备寿命，促进河北省起重机械维护保养服务行业有序健康发展，特制定本规程。</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意义</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随着我国自动化和机械化程度不断提高，起重机械已大量应用于民用建筑和工业生产。起重机械在使用过程中，由于使用单位维护保养不到位，易使设备存在安全隐患，造成事故的发生。因此只有提升使用单位对在用起重机械的维护保养水平，才能够及时发现起重机械存在的安全隐患，将其消除在萌芽阶段，做到防患于未然，切实保障起重机械</w:t>
      </w:r>
      <w:r>
        <w:rPr>
          <w:rFonts w:ascii="仿宋_GB2312" w:eastAsia="仿宋_GB2312" w:hint="eastAsia"/>
          <w:sz w:val="28"/>
          <w:szCs w:val="28"/>
        </w:rPr>
        <w:t>的安全运行。</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河北省是起重机械的制造大省和使用大省，起重机械的产量高，需求量高，在用起重机械数量多，尤其是桥式和门式起重机</w:t>
      </w:r>
      <w:proofErr w:type="gramStart"/>
      <w:r>
        <w:rPr>
          <w:rFonts w:ascii="仿宋_GB2312" w:eastAsia="仿宋_GB2312" w:hint="eastAsia"/>
          <w:sz w:val="28"/>
          <w:szCs w:val="28"/>
        </w:rPr>
        <w:t>械</w:t>
      </w:r>
      <w:proofErr w:type="gramEnd"/>
      <w:r>
        <w:rPr>
          <w:rFonts w:ascii="仿宋_GB2312" w:eastAsia="仿宋_GB2312" w:hint="eastAsia"/>
          <w:sz w:val="28"/>
          <w:szCs w:val="28"/>
        </w:rPr>
        <w:t>更是占有较高比例。目前我省尚未为制定关于起重机械维护保养方面的地方标准或规程，使用单位仅依靠自身的经验对起重机械进行管理和维护</w:t>
      </w:r>
      <w:r>
        <w:rPr>
          <w:rFonts w:ascii="仿宋_GB2312" w:eastAsia="仿宋_GB2312" w:hint="eastAsia"/>
          <w:sz w:val="28"/>
          <w:szCs w:val="28"/>
        </w:rPr>
        <w:lastRenderedPageBreak/>
        <w:t>保养，维护保养常流于形式且缺少针对性。为更好提升使用单位对桥式和门式起重机械的维护保养水平，消除安全隐患，保障起重机械使用安全，制定我省的起重机械维修保养相关的规程已迫在眉睫。</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（三）工作过程</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河北省特种设备学会</w:t>
      </w:r>
      <w:r>
        <w:rPr>
          <w:rFonts w:ascii="仿宋_GB2312" w:eastAsia="仿宋_GB2312" w:hint="eastAsia"/>
          <w:sz w:val="28"/>
          <w:szCs w:val="28"/>
        </w:rPr>
        <w:t>团体标准《桥式和门式起重机械维护保养操作规程》项目起草工作</w:t>
      </w:r>
      <w:r>
        <w:rPr>
          <w:rFonts w:ascii="仿宋_GB2312" w:eastAsia="仿宋_GB2312" w:hint="eastAsia"/>
          <w:sz w:val="28"/>
          <w:szCs w:val="28"/>
        </w:rPr>
        <w:t>组成立于</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年。项目首先成立了标准编制小组，确定小组成员，并对各成员进行了具体分工，分别开展了相关资料的收集分析和深入的调研工作，在总结以往的起重机</w:t>
      </w:r>
      <w:r>
        <w:rPr>
          <w:rFonts w:ascii="仿宋_GB2312" w:eastAsia="仿宋_GB2312" w:hint="eastAsia"/>
          <w:sz w:val="28"/>
          <w:szCs w:val="28"/>
        </w:rPr>
        <w:t>维护保养工作</w:t>
      </w:r>
      <w:r>
        <w:rPr>
          <w:rFonts w:ascii="仿宋_GB2312" w:eastAsia="仿宋_GB2312" w:hint="eastAsia"/>
          <w:sz w:val="28"/>
          <w:szCs w:val="28"/>
        </w:rPr>
        <w:t>的基础上制订了编写计划。</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w:t>
      </w:r>
      <w:r>
        <w:rPr>
          <w:rFonts w:ascii="仿宋_GB2312" w:eastAsia="仿宋_GB2312" w:hint="eastAsia"/>
          <w:sz w:val="28"/>
          <w:szCs w:val="28"/>
        </w:rPr>
        <w:t>9</w:t>
      </w:r>
      <w:r>
        <w:rPr>
          <w:rFonts w:ascii="仿宋_GB2312" w:eastAsia="仿宋_GB2312" w:hint="eastAsia"/>
          <w:sz w:val="28"/>
          <w:szCs w:val="28"/>
        </w:rPr>
        <w:t>月，在总结历年实践经验的基础上，参照了同行编写的有关标准，</w:t>
      </w:r>
      <w:r>
        <w:rPr>
          <w:rFonts w:ascii="仿宋_GB2312" w:eastAsia="仿宋_GB2312" w:hint="eastAsia"/>
          <w:sz w:val="28"/>
          <w:szCs w:val="28"/>
        </w:rPr>
        <w:t>研究总结我省部分桥门式起重机使用单位管理制度和维护保养开展情况，</w:t>
      </w:r>
      <w:r>
        <w:rPr>
          <w:rFonts w:ascii="仿宋_GB2312" w:eastAsia="仿宋_GB2312" w:hint="eastAsia"/>
          <w:sz w:val="28"/>
          <w:szCs w:val="28"/>
        </w:rPr>
        <w:t>草拟出《桥式和门式起重机械维护保养操作规程》的初稿。工作小组多次组织人员对初稿进行讨论，</w:t>
      </w:r>
      <w:r>
        <w:rPr>
          <w:rFonts w:ascii="仿宋_GB2312" w:eastAsia="仿宋_GB2312" w:hint="eastAsia"/>
          <w:sz w:val="28"/>
          <w:szCs w:val="28"/>
        </w:rPr>
        <w:t>下一步将</w:t>
      </w:r>
      <w:r>
        <w:rPr>
          <w:rFonts w:ascii="仿宋_GB2312" w:eastAsia="仿宋_GB2312" w:hint="eastAsia"/>
          <w:sz w:val="28"/>
          <w:szCs w:val="28"/>
        </w:rPr>
        <w:t>广泛征求省内专家们的各种意见，</w:t>
      </w:r>
      <w:r>
        <w:rPr>
          <w:rFonts w:ascii="仿宋_GB2312" w:eastAsia="仿宋_GB2312" w:hint="eastAsia"/>
          <w:sz w:val="28"/>
          <w:szCs w:val="28"/>
        </w:rPr>
        <w:t>征求相关</w:t>
      </w:r>
      <w:r>
        <w:rPr>
          <w:rFonts w:ascii="仿宋_GB2312" w:eastAsia="仿宋_GB2312" w:hint="eastAsia"/>
          <w:sz w:val="28"/>
          <w:szCs w:val="28"/>
        </w:rPr>
        <w:t>意见和建议。起草工作组</w:t>
      </w:r>
      <w:r>
        <w:rPr>
          <w:rFonts w:ascii="仿宋_GB2312" w:eastAsia="仿宋_GB2312" w:hint="eastAsia"/>
          <w:sz w:val="28"/>
          <w:szCs w:val="28"/>
        </w:rPr>
        <w:t>将对</w:t>
      </w:r>
      <w:r>
        <w:rPr>
          <w:rFonts w:ascii="仿宋_GB2312" w:eastAsia="仿宋_GB2312" w:hint="eastAsia"/>
          <w:sz w:val="28"/>
          <w:szCs w:val="28"/>
        </w:rPr>
        <w:t>征求得来的全部意见或建议进行认真汇总和分析研究</w:t>
      </w:r>
      <w:r>
        <w:rPr>
          <w:rFonts w:ascii="仿宋_GB2312" w:eastAsia="仿宋_GB2312" w:hint="eastAsia"/>
          <w:sz w:val="28"/>
          <w:szCs w:val="28"/>
        </w:rPr>
        <w:t>，</w:t>
      </w:r>
      <w:r>
        <w:rPr>
          <w:rFonts w:ascii="仿宋_GB2312" w:eastAsia="仿宋_GB2312" w:hint="eastAsia"/>
          <w:sz w:val="28"/>
          <w:szCs w:val="28"/>
        </w:rPr>
        <w:t>按计划</w:t>
      </w:r>
      <w:r>
        <w:rPr>
          <w:rFonts w:ascii="仿宋_GB2312" w:eastAsia="仿宋_GB2312" w:hint="eastAsia"/>
          <w:sz w:val="28"/>
          <w:szCs w:val="28"/>
        </w:rPr>
        <w:t>于</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年</w:t>
      </w:r>
      <w:r>
        <w:rPr>
          <w:rFonts w:ascii="仿宋_GB2312" w:eastAsia="仿宋_GB2312" w:hint="eastAsia"/>
          <w:sz w:val="28"/>
          <w:szCs w:val="28"/>
        </w:rPr>
        <w:t>12</w:t>
      </w:r>
      <w:r>
        <w:rPr>
          <w:rFonts w:ascii="仿宋_GB2312" w:eastAsia="仿宋_GB2312" w:hint="eastAsia"/>
          <w:sz w:val="28"/>
          <w:szCs w:val="28"/>
        </w:rPr>
        <w:t>月底完成了现在的标准草案征求意见</w:t>
      </w:r>
      <w:bookmarkStart w:id="0" w:name="_GoBack"/>
      <w:bookmarkEnd w:id="0"/>
      <w:r>
        <w:rPr>
          <w:rFonts w:ascii="仿宋_GB2312" w:eastAsia="仿宋_GB2312" w:hint="eastAsia"/>
          <w:sz w:val="28"/>
          <w:szCs w:val="28"/>
        </w:rPr>
        <w:t>稿的编制工作。</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（一）</w:t>
      </w:r>
      <w:r>
        <w:rPr>
          <w:rFonts w:ascii="仿宋_GB2312" w:eastAsia="仿宋_GB2312" w:hint="eastAsia"/>
          <w:sz w:val="28"/>
          <w:szCs w:val="28"/>
        </w:rPr>
        <w:t xml:space="preserve"> </w:t>
      </w:r>
      <w:r>
        <w:rPr>
          <w:rFonts w:ascii="仿宋_GB2312" w:eastAsia="仿宋_GB2312" w:hint="eastAsia"/>
          <w:sz w:val="28"/>
          <w:szCs w:val="28"/>
        </w:rPr>
        <w:t>编写原则</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本标准按照</w:t>
      </w:r>
      <w:r>
        <w:rPr>
          <w:rFonts w:ascii="仿宋_GB2312" w:eastAsia="仿宋_GB2312" w:hint="eastAsia"/>
          <w:sz w:val="28"/>
          <w:szCs w:val="28"/>
        </w:rPr>
        <w:t>GB/T 1.1</w:t>
      </w:r>
      <w:r>
        <w:rPr>
          <w:rFonts w:ascii="仿宋_GB2312" w:eastAsia="仿宋_GB2312" w:hint="eastAsia"/>
          <w:sz w:val="28"/>
          <w:szCs w:val="28"/>
        </w:rPr>
        <w:t>—</w:t>
      </w:r>
      <w:r>
        <w:rPr>
          <w:rFonts w:ascii="仿宋_GB2312" w:eastAsia="仿宋_GB2312" w:hint="eastAsia"/>
          <w:sz w:val="28"/>
          <w:szCs w:val="28"/>
        </w:rPr>
        <w:t>2020</w:t>
      </w:r>
      <w:r>
        <w:rPr>
          <w:rFonts w:ascii="仿宋_GB2312" w:eastAsia="仿宋_GB2312" w:hint="eastAsia"/>
          <w:sz w:val="28"/>
          <w:szCs w:val="28"/>
        </w:rPr>
        <w:t>《标准化工作导则</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1</w:t>
      </w:r>
      <w:r>
        <w:rPr>
          <w:rFonts w:ascii="仿宋_GB2312" w:eastAsia="仿宋_GB2312" w:hint="eastAsia"/>
          <w:sz w:val="28"/>
          <w:szCs w:val="28"/>
        </w:rPr>
        <w:t>部分：标准化文件的结构和起草规则》的规定起草。其编制遵循“先进性、实用性、统一性、规范性”的原则，尽可能与国际通行标准接轨，注重标准的可操作性。</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（二）主要内容</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本标准规定了</w:t>
      </w:r>
      <w:r>
        <w:rPr>
          <w:rFonts w:ascii="仿宋_GB2312" w:eastAsia="仿宋_GB2312" w:hint="eastAsia"/>
          <w:sz w:val="28"/>
          <w:szCs w:val="28"/>
        </w:rPr>
        <w:t>桥式和门式起重机维护保养</w:t>
      </w:r>
      <w:r>
        <w:rPr>
          <w:rFonts w:ascii="仿宋_GB2312" w:eastAsia="仿宋_GB2312" w:hint="eastAsia"/>
          <w:sz w:val="28"/>
          <w:szCs w:val="28"/>
        </w:rPr>
        <w:t>操作基本要求、</w:t>
      </w:r>
      <w:r>
        <w:rPr>
          <w:rFonts w:ascii="仿宋_GB2312" w:eastAsia="仿宋_GB2312" w:hint="eastAsia"/>
          <w:sz w:val="28"/>
          <w:szCs w:val="28"/>
        </w:rPr>
        <w:t>操作规程</w:t>
      </w:r>
      <w:r>
        <w:rPr>
          <w:rFonts w:ascii="仿宋_GB2312" w:eastAsia="仿宋_GB2312" w:hint="eastAsia"/>
          <w:sz w:val="28"/>
          <w:szCs w:val="28"/>
        </w:rPr>
        <w:t>、</w:t>
      </w:r>
      <w:r>
        <w:rPr>
          <w:rFonts w:ascii="仿宋_GB2312" w:eastAsia="仿宋_GB2312" w:hint="eastAsia"/>
          <w:sz w:val="28"/>
          <w:szCs w:val="28"/>
        </w:rPr>
        <w:t>服务质</w:t>
      </w:r>
      <w:r>
        <w:rPr>
          <w:rFonts w:ascii="仿宋_GB2312" w:eastAsia="仿宋_GB2312" w:hint="eastAsia"/>
          <w:sz w:val="28"/>
          <w:szCs w:val="28"/>
        </w:rPr>
        <w:t>量和满意度调查、服务质量纠纷处理和起重机械维护保养的具体项</w:t>
      </w:r>
      <w:r>
        <w:rPr>
          <w:rFonts w:ascii="仿宋_GB2312" w:eastAsia="仿宋_GB2312" w:hint="eastAsia"/>
          <w:sz w:val="28"/>
          <w:szCs w:val="28"/>
        </w:rPr>
        <w:t>目内容、周期及要求。</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主要内容，来源于下列文件中的内容通过文中的规范性引用而构成本文件必不可少的条款。其中，注日期的引用文件，仅该日期对应的版本适用于本文件；不注日期的引用文件，其最新版本（包括所有的修改单）适用于本文件。</w:t>
      </w:r>
    </w:p>
    <w:p w:rsidR="00680C60" w:rsidRDefault="00462309">
      <w:pPr>
        <w:pStyle w:val="af0"/>
        <w:spacing w:line="440" w:lineRule="exact"/>
        <w:ind w:firstLine="560"/>
        <w:rPr>
          <w:rFonts w:ascii="仿宋_GB2312" w:eastAsia="仿宋_GB2312"/>
          <w:sz w:val="28"/>
          <w:szCs w:val="28"/>
        </w:rPr>
      </w:pPr>
      <w:r>
        <w:rPr>
          <w:rFonts w:ascii="仿宋_GB2312" w:eastAsia="仿宋_GB2312"/>
          <w:sz w:val="28"/>
          <w:szCs w:val="28"/>
        </w:rPr>
        <w:lastRenderedPageBreak/>
        <w:t>TSG</w:t>
      </w:r>
      <w:r>
        <w:rPr>
          <w:rFonts w:ascii="仿宋_GB2312" w:eastAsia="仿宋_GB2312"/>
          <w:sz w:val="28"/>
          <w:szCs w:val="28"/>
        </w:rPr>
        <w:t> </w:t>
      </w:r>
      <w:r>
        <w:rPr>
          <w:rFonts w:ascii="仿宋_GB2312" w:eastAsia="仿宋_GB2312"/>
          <w:sz w:val="28"/>
          <w:szCs w:val="28"/>
        </w:rPr>
        <w:t>08</w:t>
      </w:r>
      <w:r>
        <w:rPr>
          <w:rFonts w:ascii="仿宋_GB2312" w:eastAsia="仿宋_GB2312"/>
          <w:sz w:val="28"/>
          <w:szCs w:val="28"/>
        </w:rPr>
        <w:t>—</w:t>
      </w:r>
      <w:r>
        <w:rPr>
          <w:rFonts w:ascii="仿宋_GB2312" w:eastAsia="仿宋_GB2312"/>
          <w:sz w:val="28"/>
          <w:szCs w:val="28"/>
        </w:rPr>
        <w:t xml:space="preserve">2017 </w:t>
      </w:r>
      <w:hyperlink r:id="rId6" w:tgtFrame="_blank" w:history="1">
        <w:r>
          <w:rPr>
            <w:rFonts w:ascii="仿宋_GB2312" w:eastAsia="仿宋_GB2312"/>
            <w:sz w:val="28"/>
            <w:szCs w:val="28"/>
          </w:rPr>
          <w:t>特种设备使用管理规则</w:t>
        </w:r>
      </w:hyperlink>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G</w:t>
      </w:r>
      <w:r>
        <w:rPr>
          <w:rFonts w:ascii="仿宋_GB2312" w:eastAsia="仿宋_GB2312"/>
          <w:sz w:val="28"/>
          <w:szCs w:val="28"/>
        </w:rPr>
        <w:t xml:space="preserve">B6067.1 </w:t>
      </w:r>
      <w:r>
        <w:rPr>
          <w:rFonts w:ascii="仿宋_GB2312" w:eastAsia="仿宋_GB2312" w:hint="eastAsia"/>
          <w:sz w:val="28"/>
          <w:szCs w:val="28"/>
        </w:rPr>
        <w:t>起重机械安全规程</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1</w:t>
      </w:r>
      <w:r>
        <w:rPr>
          <w:rFonts w:ascii="仿宋_GB2312" w:eastAsia="仿宋_GB2312" w:hint="eastAsia"/>
          <w:sz w:val="28"/>
          <w:szCs w:val="28"/>
        </w:rPr>
        <w:t>部分：总则</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G</w:t>
      </w:r>
      <w:r>
        <w:rPr>
          <w:rFonts w:ascii="仿宋_GB2312" w:eastAsia="仿宋_GB2312"/>
          <w:sz w:val="28"/>
          <w:szCs w:val="28"/>
        </w:rPr>
        <w:t>B6067.</w:t>
      </w:r>
      <w:r>
        <w:rPr>
          <w:rFonts w:ascii="仿宋_GB2312" w:eastAsia="仿宋_GB2312" w:hint="eastAsia"/>
          <w:sz w:val="28"/>
          <w:szCs w:val="28"/>
        </w:rPr>
        <w:t>5</w:t>
      </w:r>
      <w:r>
        <w:rPr>
          <w:rFonts w:ascii="仿宋_GB2312" w:eastAsia="仿宋_GB2312"/>
          <w:sz w:val="28"/>
          <w:szCs w:val="28"/>
        </w:rPr>
        <w:t xml:space="preserve"> </w:t>
      </w:r>
      <w:r>
        <w:rPr>
          <w:rFonts w:ascii="仿宋_GB2312" w:eastAsia="仿宋_GB2312" w:hint="eastAsia"/>
          <w:sz w:val="28"/>
          <w:szCs w:val="28"/>
        </w:rPr>
        <w:t>起重机械安全规程</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5</w:t>
      </w:r>
      <w:r>
        <w:rPr>
          <w:rFonts w:ascii="仿宋_GB2312" w:eastAsia="仿宋_GB2312" w:hint="eastAsia"/>
          <w:sz w:val="28"/>
          <w:szCs w:val="28"/>
        </w:rPr>
        <w:t>部分：</w:t>
      </w:r>
      <w:r>
        <w:rPr>
          <w:rFonts w:ascii="仿宋_GB2312" w:eastAsia="仿宋_GB2312" w:hint="eastAsia"/>
          <w:sz w:val="28"/>
          <w:szCs w:val="28"/>
        </w:rPr>
        <w:t>桥式和门式起重机</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GB/T</w:t>
      </w:r>
      <w:r>
        <w:rPr>
          <w:rFonts w:ascii="仿宋_GB2312" w:eastAsia="仿宋_GB2312" w:hint="eastAsia"/>
          <w:sz w:val="28"/>
          <w:szCs w:val="28"/>
        </w:rPr>
        <w:t xml:space="preserve"> 31052.5 </w:t>
      </w:r>
      <w:r>
        <w:rPr>
          <w:rFonts w:ascii="仿宋_GB2312" w:eastAsia="仿宋_GB2312" w:hint="eastAsia"/>
          <w:sz w:val="28"/>
          <w:szCs w:val="28"/>
        </w:rPr>
        <w:t>检查与维护规程</w:t>
      </w:r>
      <w:r>
        <w:rPr>
          <w:rFonts w:ascii="仿宋_GB2312" w:eastAsia="仿宋_GB2312" w:hint="eastAsia"/>
          <w:sz w:val="28"/>
          <w:szCs w:val="28"/>
        </w:rPr>
        <w:t xml:space="preserve"> </w:t>
      </w:r>
      <w:r>
        <w:rPr>
          <w:rFonts w:ascii="仿宋_GB2312" w:eastAsia="仿宋_GB2312" w:hint="eastAsia"/>
          <w:sz w:val="28"/>
          <w:szCs w:val="28"/>
        </w:rPr>
        <w:t>第</w:t>
      </w:r>
      <w:r>
        <w:rPr>
          <w:rFonts w:ascii="仿宋_GB2312" w:eastAsia="仿宋_GB2312" w:hint="eastAsia"/>
          <w:sz w:val="28"/>
          <w:szCs w:val="28"/>
        </w:rPr>
        <w:t>5</w:t>
      </w:r>
      <w:r>
        <w:rPr>
          <w:rFonts w:ascii="仿宋_GB2312" w:eastAsia="仿宋_GB2312" w:hint="eastAsia"/>
          <w:sz w:val="28"/>
          <w:szCs w:val="28"/>
        </w:rPr>
        <w:t>部分：桥式和门式起重机</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三、预期的经济、社会效益</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《桥式和门式起重机械维护保养操作规程》的编写，能够有效的填补我省关于起重机械</w:t>
      </w:r>
      <w:r>
        <w:rPr>
          <w:rFonts w:ascii="仿宋_GB2312" w:eastAsia="仿宋_GB2312" w:hint="eastAsia"/>
          <w:sz w:val="28"/>
          <w:szCs w:val="28"/>
        </w:rPr>
        <w:t>使用单位对其在用的桥式和门式起重机</w:t>
      </w:r>
      <w:proofErr w:type="gramStart"/>
      <w:r>
        <w:rPr>
          <w:rFonts w:ascii="仿宋_GB2312" w:eastAsia="仿宋_GB2312" w:hint="eastAsia"/>
          <w:sz w:val="28"/>
          <w:szCs w:val="28"/>
        </w:rPr>
        <w:t>械</w:t>
      </w:r>
      <w:proofErr w:type="gramEnd"/>
      <w:r>
        <w:rPr>
          <w:rFonts w:ascii="仿宋_GB2312" w:eastAsia="仿宋_GB2312" w:hint="eastAsia"/>
          <w:sz w:val="28"/>
          <w:szCs w:val="28"/>
        </w:rPr>
        <w:t>自行维护保养</w:t>
      </w:r>
      <w:r>
        <w:rPr>
          <w:rFonts w:ascii="仿宋_GB2312" w:eastAsia="仿宋_GB2312" w:hint="eastAsia"/>
          <w:sz w:val="28"/>
          <w:szCs w:val="28"/>
        </w:rPr>
        <w:t>操作相关方面的空白，为起重机械制造单位、</w:t>
      </w:r>
      <w:r>
        <w:rPr>
          <w:rFonts w:ascii="仿宋_GB2312" w:eastAsia="仿宋_GB2312" w:hint="eastAsia"/>
          <w:sz w:val="28"/>
          <w:szCs w:val="28"/>
        </w:rPr>
        <w:t>安装、改造、修理单位和</w:t>
      </w:r>
      <w:r>
        <w:rPr>
          <w:rFonts w:ascii="仿宋_GB2312" w:eastAsia="仿宋_GB2312" w:hint="eastAsia"/>
          <w:sz w:val="28"/>
          <w:szCs w:val="28"/>
        </w:rPr>
        <w:t>使用单位、检验检测机构、监察机构提供理论依据。</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《桥式和门式起重机械维护保养操作规程》的制定，有利于提高起重机械使用</w:t>
      </w:r>
      <w:r>
        <w:rPr>
          <w:rFonts w:ascii="仿宋_GB2312" w:eastAsia="仿宋_GB2312" w:hint="eastAsia"/>
          <w:sz w:val="28"/>
          <w:szCs w:val="28"/>
        </w:rPr>
        <w:t>单位维护保养操作</w:t>
      </w:r>
      <w:r>
        <w:rPr>
          <w:rFonts w:ascii="仿宋_GB2312" w:eastAsia="仿宋_GB2312" w:hint="eastAsia"/>
          <w:sz w:val="28"/>
          <w:szCs w:val="28"/>
        </w:rPr>
        <w:t>水平，为起重机械监管工作的科学开展提供依据，同时为使用</w:t>
      </w:r>
      <w:r>
        <w:rPr>
          <w:rFonts w:ascii="仿宋_GB2312" w:eastAsia="仿宋_GB2312" w:hint="eastAsia"/>
          <w:sz w:val="28"/>
          <w:szCs w:val="28"/>
        </w:rPr>
        <w:t>单位有效避免由于维护保养不到位而</w:t>
      </w:r>
      <w:r>
        <w:rPr>
          <w:rFonts w:ascii="仿宋_GB2312" w:eastAsia="仿宋_GB2312" w:hint="eastAsia"/>
          <w:sz w:val="28"/>
          <w:szCs w:val="28"/>
        </w:rPr>
        <w:t>引起的</w:t>
      </w:r>
      <w:r>
        <w:rPr>
          <w:rFonts w:ascii="仿宋_GB2312" w:eastAsia="仿宋_GB2312" w:hint="eastAsia"/>
          <w:sz w:val="28"/>
          <w:szCs w:val="28"/>
        </w:rPr>
        <w:t>起重机械</w:t>
      </w:r>
      <w:r>
        <w:rPr>
          <w:rFonts w:ascii="仿宋_GB2312" w:eastAsia="仿宋_GB2312" w:hint="eastAsia"/>
          <w:sz w:val="28"/>
          <w:szCs w:val="28"/>
        </w:rPr>
        <w:t>安全事故</w:t>
      </w:r>
      <w:r>
        <w:rPr>
          <w:rFonts w:ascii="仿宋_GB2312" w:eastAsia="仿宋_GB2312" w:hint="eastAsia"/>
          <w:sz w:val="28"/>
          <w:szCs w:val="28"/>
        </w:rPr>
        <w:t>、</w:t>
      </w:r>
      <w:r>
        <w:rPr>
          <w:rFonts w:ascii="仿宋_GB2312" w:eastAsia="仿宋_GB2312" w:hint="eastAsia"/>
          <w:sz w:val="28"/>
          <w:szCs w:val="28"/>
        </w:rPr>
        <w:t>造成重大人员伤亡和经济损失</w:t>
      </w:r>
      <w:r>
        <w:rPr>
          <w:rFonts w:ascii="仿宋_GB2312" w:eastAsia="仿宋_GB2312" w:hint="eastAsia"/>
          <w:sz w:val="28"/>
          <w:szCs w:val="28"/>
        </w:rPr>
        <w:t>等提供了技术支撑</w:t>
      </w:r>
      <w:r>
        <w:rPr>
          <w:rFonts w:ascii="仿宋_GB2312" w:eastAsia="仿宋_GB2312" w:hint="eastAsia"/>
          <w:sz w:val="28"/>
          <w:szCs w:val="28"/>
        </w:rPr>
        <w:t>，</w:t>
      </w:r>
      <w:r>
        <w:rPr>
          <w:rFonts w:ascii="仿宋_GB2312" w:eastAsia="仿宋_GB2312" w:hint="eastAsia"/>
          <w:sz w:val="28"/>
          <w:szCs w:val="28"/>
        </w:rPr>
        <w:t>对</w:t>
      </w:r>
      <w:r>
        <w:rPr>
          <w:rFonts w:ascii="仿宋_GB2312" w:eastAsia="仿宋_GB2312" w:hint="eastAsia"/>
          <w:sz w:val="28"/>
          <w:szCs w:val="28"/>
        </w:rPr>
        <w:t>提升使用单位管理水平、</w:t>
      </w:r>
      <w:r>
        <w:rPr>
          <w:rFonts w:ascii="仿宋_GB2312" w:eastAsia="仿宋_GB2312" w:hint="eastAsia"/>
          <w:sz w:val="28"/>
          <w:szCs w:val="28"/>
        </w:rPr>
        <w:t>建设安全</w:t>
      </w:r>
      <w:r>
        <w:rPr>
          <w:rFonts w:ascii="仿宋_GB2312" w:eastAsia="仿宋_GB2312" w:hint="eastAsia"/>
          <w:sz w:val="28"/>
          <w:szCs w:val="28"/>
        </w:rPr>
        <w:t>和谐</w:t>
      </w:r>
      <w:r>
        <w:rPr>
          <w:rFonts w:ascii="仿宋_GB2312" w:eastAsia="仿宋_GB2312" w:hint="eastAsia"/>
          <w:sz w:val="28"/>
          <w:szCs w:val="28"/>
        </w:rPr>
        <w:t>社会，实现经济可持续发展</w:t>
      </w:r>
      <w:r>
        <w:rPr>
          <w:rFonts w:ascii="仿宋_GB2312" w:eastAsia="仿宋_GB2312" w:hint="eastAsia"/>
          <w:sz w:val="28"/>
          <w:szCs w:val="28"/>
        </w:rPr>
        <w:t>具</w:t>
      </w:r>
      <w:r>
        <w:rPr>
          <w:rFonts w:ascii="仿宋_GB2312" w:eastAsia="仿宋_GB2312" w:hint="eastAsia"/>
          <w:sz w:val="28"/>
          <w:szCs w:val="28"/>
        </w:rPr>
        <w:t>有重要意义。</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w:t>
      </w:r>
      <w:r>
        <w:rPr>
          <w:rFonts w:ascii="仿宋_GB2312" w:eastAsia="仿宋_GB2312" w:hint="eastAsia"/>
          <w:b/>
          <w:sz w:val="28"/>
          <w:szCs w:val="28"/>
        </w:rPr>
        <w:t>与国外同类标准水平的对比情况</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本标准是在国家相关的法律、法规和强制性国家标准的基础上结合行业特点制定出来的，因此与它们没有冲突。</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标准充分反映了多数专家的意见，由于标准编制小组人员的水平有限，本标准的内容以及各个单项指标免不了有不足之处</w:t>
      </w:r>
      <w:r>
        <w:rPr>
          <w:rFonts w:ascii="仿宋_GB2312" w:eastAsia="仿宋_GB2312" w:hint="eastAsia"/>
          <w:sz w:val="28"/>
          <w:szCs w:val="28"/>
        </w:rPr>
        <w:t>,</w:t>
      </w:r>
      <w:r>
        <w:rPr>
          <w:rFonts w:ascii="仿宋_GB2312" w:eastAsia="仿宋_GB2312" w:hint="eastAsia"/>
          <w:sz w:val="28"/>
          <w:szCs w:val="28"/>
        </w:rPr>
        <w:t>有待在实践中修订。</w:t>
      </w:r>
    </w:p>
    <w:p w:rsidR="00680C60" w:rsidRDefault="00462309" w:rsidP="00462309">
      <w:pPr>
        <w:pStyle w:val="af0"/>
        <w:spacing w:line="440" w:lineRule="exact"/>
        <w:ind w:firstLine="562"/>
        <w:rPr>
          <w:rFonts w:ascii="仿宋_GB2312" w:eastAsia="仿宋_GB2312"/>
          <w:b/>
          <w:sz w:val="28"/>
          <w:szCs w:val="28"/>
        </w:rPr>
      </w:pPr>
      <w:r>
        <w:rPr>
          <w:rFonts w:ascii="仿宋_GB2312" w:eastAsia="仿宋_GB2312" w:hint="eastAsia"/>
          <w:b/>
          <w:sz w:val="28"/>
          <w:szCs w:val="28"/>
        </w:rPr>
        <w:t>七、涉及专利的有关说明</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本标准的某些内容可能涉及专利。本标准的发布机构不承担识别专利的责任。</w:t>
      </w:r>
    </w:p>
    <w:p w:rsidR="00680C60" w:rsidRDefault="00462309">
      <w:pPr>
        <w:spacing w:line="500" w:lineRule="exact"/>
        <w:ind w:firstLineChars="200" w:firstLine="562"/>
        <w:rPr>
          <w:rFonts w:ascii="仿宋_GB2312" w:eastAsia="仿宋_GB2312"/>
          <w:b/>
          <w:kern w:val="0"/>
          <w:sz w:val="28"/>
          <w:szCs w:val="28"/>
        </w:rPr>
      </w:pPr>
      <w:r>
        <w:rPr>
          <w:rFonts w:ascii="仿宋_GB2312" w:eastAsia="仿宋_GB2312" w:hint="eastAsia"/>
          <w:b/>
          <w:kern w:val="0"/>
          <w:sz w:val="28"/>
          <w:szCs w:val="28"/>
        </w:rPr>
        <w:t>八、贯彻标准的要求和建议措施</w:t>
      </w:r>
    </w:p>
    <w:p w:rsidR="00680C60" w:rsidRDefault="00462309">
      <w:pPr>
        <w:pStyle w:val="af0"/>
        <w:spacing w:line="440" w:lineRule="exact"/>
        <w:ind w:firstLine="560"/>
        <w:rPr>
          <w:rFonts w:ascii="仿宋_GB2312" w:eastAsia="仿宋_GB2312"/>
          <w:sz w:val="28"/>
          <w:szCs w:val="28"/>
        </w:rPr>
      </w:pPr>
      <w:r>
        <w:rPr>
          <w:rFonts w:ascii="仿宋_GB2312" w:eastAsia="仿宋_GB2312" w:hint="eastAsia"/>
          <w:sz w:val="28"/>
          <w:szCs w:val="28"/>
        </w:rPr>
        <w:t>建议本标准发布后，要加大宣传力度，将标准公布的消息在多家媒体报道，扩大知名度，举办标准宣传贯彻培训班，指导相关企业规</w:t>
      </w:r>
      <w:r>
        <w:rPr>
          <w:rFonts w:ascii="仿宋_GB2312" w:eastAsia="仿宋_GB2312" w:hint="eastAsia"/>
          <w:sz w:val="28"/>
          <w:szCs w:val="28"/>
        </w:rPr>
        <w:lastRenderedPageBreak/>
        <w:t>范</w:t>
      </w:r>
      <w:r>
        <w:rPr>
          <w:rFonts w:ascii="仿宋_GB2312" w:eastAsia="仿宋_GB2312" w:hint="eastAsia"/>
          <w:sz w:val="28"/>
          <w:szCs w:val="28"/>
        </w:rPr>
        <w:t>桥式和门式</w:t>
      </w:r>
      <w:r>
        <w:rPr>
          <w:rFonts w:ascii="仿宋_GB2312" w:eastAsia="仿宋_GB2312" w:hint="eastAsia"/>
          <w:sz w:val="28"/>
          <w:szCs w:val="28"/>
        </w:rPr>
        <w:t>起重机</w:t>
      </w:r>
      <w:proofErr w:type="gramStart"/>
      <w:r>
        <w:rPr>
          <w:rFonts w:ascii="仿宋_GB2312" w:eastAsia="仿宋_GB2312" w:hint="eastAsia"/>
          <w:sz w:val="28"/>
          <w:szCs w:val="28"/>
        </w:rPr>
        <w:t>械</w:t>
      </w:r>
      <w:proofErr w:type="gramEnd"/>
      <w:r>
        <w:rPr>
          <w:rFonts w:ascii="仿宋_GB2312" w:eastAsia="仿宋_GB2312" w:hint="eastAsia"/>
          <w:sz w:val="28"/>
          <w:szCs w:val="28"/>
        </w:rPr>
        <w:t>维护保养行为</w:t>
      </w:r>
      <w:r>
        <w:rPr>
          <w:rFonts w:ascii="仿宋_GB2312" w:eastAsia="仿宋_GB2312" w:hint="eastAsia"/>
          <w:sz w:val="28"/>
          <w:szCs w:val="28"/>
        </w:rPr>
        <w:t>，实现无隐患、零事故，建立起重机械</w:t>
      </w:r>
      <w:r>
        <w:rPr>
          <w:rFonts w:ascii="仿宋_GB2312" w:eastAsia="仿宋_GB2312" w:hint="eastAsia"/>
          <w:sz w:val="28"/>
          <w:szCs w:val="28"/>
        </w:rPr>
        <w:t>维护保养</w:t>
      </w:r>
      <w:r>
        <w:rPr>
          <w:rFonts w:ascii="仿宋_GB2312" w:eastAsia="仿宋_GB2312" w:hint="eastAsia"/>
          <w:sz w:val="28"/>
          <w:szCs w:val="28"/>
        </w:rPr>
        <w:t>标准化示范企业。同时，广泛收集标准实施过程中的问题和改进建议，为将来进一步完善标准作好准备。</w:t>
      </w:r>
    </w:p>
    <w:p w:rsidR="00680C60" w:rsidRDefault="00462309">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九、其他应当说明的事项</w:t>
      </w:r>
    </w:p>
    <w:p w:rsidR="00680C60" w:rsidRDefault="00462309">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680C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4MDg4Y2NmMTRjZGFiMTkyZjQyZDk4NTVkOTM4M2UifQ=="/>
  </w:docVars>
  <w:rsids>
    <w:rsidRoot w:val="74DE3C55"/>
    <w:rsid w:val="0002425A"/>
    <w:rsid w:val="000257E9"/>
    <w:rsid w:val="00043485"/>
    <w:rsid w:val="0006018E"/>
    <w:rsid w:val="000B199B"/>
    <w:rsid w:val="000C3F77"/>
    <w:rsid w:val="000E62F4"/>
    <w:rsid w:val="000E69E1"/>
    <w:rsid w:val="000F0875"/>
    <w:rsid w:val="001402C3"/>
    <w:rsid w:val="001743E8"/>
    <w:rsid w:val="001835FE"/>
    <w:rsid w:val="00196B34"/>
    <w:rsid w:val="001F2188"/>
    <w:rsid w:val="00203188"/>
    <w:rsid w:val="00216ED1"/>
    <w:rsid w:val="0024366A"/>
    <w:rsid w:val="00244800"/>
    <w:rsid w:val="002709E4"/>
    <w:rsid w:val="002E33C6"/>
    <w:rsid w:val="002F01BA"/>
    <w:rsid w:val="00316335"/>
    <w:rsid w:val="00320670"/>
    <w:rsid w:val="0033046D"/>
    <w:rsid w:val="00383F2F"/>
    <w:rsid w:val="003B3132"/>
    <w:rsid w:val="003F45F8"/>
    <w:rsid w:val="00401664"/>
    <w:rsid w:val="00432BDD"/>
    <w:rsid w:val="004465D3"/>
    <w:rsid w:val="00462309"/>
    <w:rsid w:val="00475C45"/>
    <w:rsid w:val="004A0337"/>
    <w:rsid w:val="004C3944"/>
    <w:rsid w:val="004D583D"/>
    <w:rsid w:val="00594667"/>
    <w:rsid w:val="005E1FCB"/>
    <w:rsid w:val="005F65F0"/>
    <w:rsid w:val="00630A1D"/>
    <w:rsid w:val="00630C06"/>
    <w:rsid w:val="00633A7D"/>
    <w:rsid w:val="00637ED0"/>
    <w:rsid w:val="00660E70"/>
    <w:rsid w:val="00664BF5"/>
    <w:rsid w:val="00680C60"/>
    <w:rsid w:val="0069489A"/>
    <w:rsid w:val="006B5622"/>
    <w:rsid w:val="006C1670"/>
    <w:rsid w:val="006E6180"/>
    <w:rsid w:val="007D1A07"/>
    <w:rsid w:val="007E44BE"/>
    <w:rsid w:val="00800470"/>
    <w:rsid w:val="008022F3"/>
    <w:rsid w:val="00811183"/>
    <w:rsid w:val="008454E2"/>
    <w:rsid w:val="00881B57"/>
    <w:rsid w:val="008B3825"/>
    <w:rsid w:val="008C658D"/>
    <w:rsid w:val="008D715D"/>
    <w:rsid w:val="008D78D6"/>
    <w:rsid w:val="008E14FC"/>
    <w:rsid w:val="00954CA2"/>
    <w:rsid w:val="009961DF"/>
    <w:rsid w:val="009A5779"/>
    <w:rsid w:val="009F53CD"/>
    <w:rsid w:val="00A05BFA"/>
    <w:rsid w:val="00AC60DA"/>
    <w:rsid w:val="00B444B8"/>
    <w:rsid w:val="00B45CD3"/>
    <w:rsid w:val="00B737FE"/>
    <w:rsid w:val="00B92B3C"/>
    <w:rsid w:val="00B96BBF"/>
    <w:rsid w:val="00C01DE1"/>
    <w:rsid w:val="00C35C37"/>
    <w:rsid w:val="00C87A1B"/>
    <w:rsid w:val="00CB3AA4"/>
    <w:rsid w:val="00CF4F69"/>
    <w:rsid w:val="00D32BB9"/>
    <w:rsid w:val="00D4141D"/>
    <w:rsid w:val="00D64969"/>
    <w:rsid w:val="00DE6C25"/>
    <w:rsid w:val="00E06220"/>
    <w:rsid w:val="00E144EF"/>
    <w:rsid w:val="00E23DB5"/>
    <w:rsid w:val="00E27BD5"/>
    <w:rsid w:val="00E5483A"/>
    <w:rsid w:val="00E57E44"/>
    <w:rsid w:val="00E8242E"/>
    <w:rsid w:val="00E900C5"/>
    <w:rsid w:val="00F40F80"/>
    <w:rsid w:val="00F8072A"/>
    <w:rsid w:val="00FB2E43"/>
    <w:rsid w:val="00FC2B00"/>
    <w:rsid w:val="043224BD"/>
    <w:rsid w:val="091F675F"/>
    <w:rsid w:val="09537CA3"/>
    <w:rsid w:val="1C633EB1"/>
    <w:rsid w:val="1E087E4C"/>
    <w:rsid w:val="25FF0E2B"/>
    <w:rsid w:val="36C82C47"/>
    <w:rsid w:val="370209E2"/>
    <w:rsid w:val="39291033"/>
    <w:rsid w:val="3C1C08F2"/>
    <w:rsid w:val="3D785BC0"/>
    <w:rsid w:val="41D61A5B"/>
    <w:rsid w:val="45933864"/>
    <w:rsid w:val="469014CD"/>
    <w:rsid w:val="485702AF"/>
    <w:rsid w:val="4A7D0BF1"/>
    <w:rsid w:val="4BC805B9"/>
    <w:rsid w:val="4F8E7542"/>
    <w:rsid w:val="52A00FD0"/>
    <w:rsid w:val="552C5AF5"/>
    <w:rsid w:val="57E1562F"/>
    <w:rsid w:val="5B3B0C57"/>
    <w:rsid w:val="5CB1707D"/>
    <w:rsid w:val="64BE027E"/>
    <w:rsid w:val="683F57E5"/>
    <w:rsid w:val="6ACD607C"/>
    <w:rsid w:val="74DE3C55"/>
    <w:rsid w:val="7FC06D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rPr>
      <w:kern w:val="2"/>
      <w:sz w:val="21"/>
      <w:szCs w:val="24"/>
    </w:rPr>
  </w:style>
  <w:style w:type="paragraph" w:styleId="2">
    <w:name w:val="heading 2"/>
    <w:basedOn w:val="a4"/>
    <w:next w:val="a4"/>
    <w:semiHidden/>
    <w:unhideWhenUsed/>
    <w:qFormat/>
    <w:pPr>
      <w:spacing w:beforeAutospacing="1" w:afterAutospacing="1"/>
      <w:jc w:val="left"/>
      <w:outlineLvl w:val="1"/>
    </w:pPr>
    <w:rPr>
      <w:rFonts w:ascii="宋体" w:hAnsi="宋体" w:hint="eastAsia"/>
      <w:b/>
      <w:kern w:val="0"/>
      <w:sz w:val="36"/>
      <w:szCs w:val="36"/>
    </w:rPr>
  </w:style>
  <w:style w:type="paragraph" w:styleId="9">
    <w:name w:val="heading 9"/>
    <w:basedOn w:val="a4"/>
    <w:next w:val="a4"/>
    <w:link w:val="9Char"/>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Char"/>
    <w:qFormat/>
    <w:pPr>
      <w:jc w:val="left"/>
    </w:pPr>
  </w:style>
  <w:style w:type="paragraph" w:styleId="a9">
    <w:name w:val="Balloon Text"/>
    <w:basedOn w:val="a4"/>
    <w:link w:val="Char0"/>
    <w:qFormat/>
    <w:rPr>
      <w:sz w:val="18"/>
      <w:szCs w:val="18"/>
    </w:rPr>
  </w:style>
  <w:style w:type="paragraph" w:styleId="aa">
    <w:name w:val="footer"/>
    <w:basedOn w:val="a4"/>
    <w:link w:val="Char1"/>
    <w:qFormat/>
    <w:pPr>
      <w:tabs>
        <w:tab w:val="center" w:pos="4153"/>
        <w:tab w:val="right" w:pos="8306"/>
      </w:tabs>
      <w:snapToGrid w:val="0"/>
      <w:jc w:val="left"/>
    </w:pPr>
    <w:rPr>
      <w:sz w:val="18"/>
      <w:szCs w:val="18"/>
    </w:rPr>
  </w:style>
  <w:style w:type="paragraph" w:styleId="ab">
    <w:name w:val="header"/>
    <w:basedOn w:val="a4"/>
    <w:link w:val="Char2"/>
    <w:qFormat/>
    <w:pPr>
      <w:pBdr>
        <w:bottom w:val="single" w:sz="6" w:space="1" w:color="auto"/>
      </w:pBdr>
      <w:tabs>
        <w:tab w:val="center" w:pos="4153"/>
        <w:tab w:val="right" w:pos="8306"/>
      </w:tabs>
      <w:snapToGrid w:val="0"/>
      <w:jc w:val="center"/>
    </w:pPr>
    <w:rPr>
      <w:sz w:val="18"/>
      <w:szCs w:val="18"/>
    </w:rPr>
  </w:style>
  <w:style w:type="paragraph" w:styleId="ac">
    <w:name w:val="Normal (Web)"/>
    <w:basedOn w:val="a4"/>
    <w:qFormat/>
    <w:pPr>
      <w:widowControl/>
      <w:spacing w:before="100" w:beforeAutospacing="1" w:after="100" w:afterAutospacing="1" w:line="330" w:lineRule="atLeast"/>
      <w:jc w:val="left"/>
    </w:pPr>
    <w:rPr>
      <w:rFonts w:ascii="宋体" w:hAnsi="宋体" w:cs="宋体"/>
      <w:color w:val="000000"/>
      <w:kern w:val="0"/>
      <w:szCs w:val="21"/>
    </w:rPr>
  </w:style>
  <w:style w:type="paragraph" w:styleId="ad">
    <w:name w:val="annotation subject"/>
    <w:basedOn w:val="a8"/>
    <w:next w:val="a8"/>
    <w:link w:val="Char3"/>
    <w:qFormat/>
    <w:rPr>
      <w:b/>
      <w:bCs/>
    </w:rPr>
  </w:style>
  <w:style w:type="character" w:styleId="ae">
    <w:name w:val="annotation reference"/>
    <w:basedOn w:val="a5"/>
    <w:qFormat/>
    <w:rPr>
      <w:sz w:val="21"/>
      <w:szCs w:val="21"/>
    </w:rPr>
  </w:style>
  <w:style w:type="paragraph" w:customStyle="1" w:styleId="af">
    <w:name w:val="目次、标准名称标题"/>
    <w:basedOn w:val="a"/>
    <w:next w:val="af0"/>
    <w:qFormat/>
    <w:pPr>
      <w:numPr>
        <w:numId w:val="0"/>
      </w:numPr>
      <w:spacing w:line="460" w:lineRule="exact"/>
    </w:pPr>
  </w:style>
  <w:style w:type="paragraph" w:customStyle="1" w:styleId="a">
    <w:name w:val="前言、引言标题"/>
    <w:next w:val="a4"/>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段"/>
    <w:qFormat/>
    <w:pPr>
      <w:autoSpaceDE w:val="0"/>
      <w:autoSpaceDN w:val="0"/>
      <w:ind w:firstLineChars="200" w:firstLine="200"/>
      <w:jc w:val="both"/>
    </w:pPr>
    <w:rPr>
      <w:rFonts w:ascii="宋体"/>
      <w:sz w:val="21"/>
    </w:rPr>
  </w:style>
  <w:style w:type="paragraph" w:customStyle="1" w:styleId="a3">
    <w:name w:val="三级条标题"/>
    <w:basedOn w:val="a2"/>
    <w:next w:val="af0"/>
    <w:qFormat/>
    <w:pPr>
      <w:numPr>
        <w:ilvl w:val="4"/>
      </w:numPr>
      <w:outlineLvl w:val="4"/>
    </w:pPr>
  </w:style>
  <w:style w:type="paragraph" w:customStyle="1" w:styleId="a2">
    <w:name w:val="二级条标题"/>
    <w:basedOn w:val="a1"/>
    <w:next w:val="af0"/>
    <w:qFormat/>
    <w:pPr>
      <w:numPr>
        <w:ilvl w:val="3"/>
      </w:numPr>
      <w:outlineLvl w:val="3"/>
    </w:pPr>
  </w:style>
  <w:style w:type="paragraph" w:customStyle="1" w:styleId="a1">
    <w:name w:val="一级条标题"/>
    <w:basedOn w:val="a0"/>
    <w:next w:val="af0"/>
    <w:qFormat/>
    <w:pPr>
      <w:numPr>
        <w:ilvl w:val="2"/>
      </w:numPr>
      <w:spacing w:beforeLines="0" w:afterLines="0"/>
      <w:outlineLvl w:val="2"/>
    </w:pPr>
  </w:style>
  <w:style w:type="paragraph" w:customStyle="1" w:styleId="a0">
    <w:name w:val="章标题"/>
    <w:next w:val="af0"/>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Pr>
      <w:rFonts w:ascii="宋体" w:eastAsia="宋体" w:hAnsi="宋体" w:cs="宋体"/>
      <w:color w:val="FFFFFF"/>
      <w:sz w:val="18"/>
      <w:szCs w:val="18"/>
    </w:rPr>
  </w:style>
  <w:style w:type="character" w:customStyle="1" w:styleId="fontstyle21">
    <w:name w:val="fontstyle21"/>
    <w:basedOn w:val="a5"/>
    <w:qFormat/>
    <w:rPr>
      <w:rFonts w:ascii="B5 + CAJSymbolA" w:eastAsia="B5 + CAJSymbolA" w:hAnsi="B5 + CAJSymbolA" w:cs="B5 + CAJSymbolA"/>
      <w:color w:val="FFFFFF"/>
      <w:sz w:val="6"/>
      <w:szCs w:val="6"/>
    </w:rPr>
  </w:style>
  <w:style w:type="character" w:customStyle="1" w:styleId="font11">
    <w:name w:val="font11"/>
    <w:basedOn w:val="a5"/>
    <w:qFormat/>
    <w:rPr>
      <w:rFonts w:ascii="宋体" w:eastAsia="宋体" w:hAnsi="宋体" w:cs="宋体" w:hint="eastAsia"/>
      <w:color w:val="000000"/>
      <w:sz w:val="21"/>
      <w:szCs w:val="21"/>
      <w:u w:val="none"/>
    </w:rPr>
  </w:style>
  <w:style w:type="character" w:customStyle="1" w:styleId="font01">
    <w:name w:val="font01"/>
    <w:basedOn w:val="a5"/>
    <w:qFormat/>
    <w:rPr>
      <w:rFonts w:ascii="Arial" w:hAnsi="Arial" w:cs="Arial"/>
      <w:color w:val="000000"/>
      <w:sz w:val="21"/>
      <w:szCs w:val="21"/>
      <w:u w:val="none"/>
    </w:rPr>
  </w:style>
  <w:style w:type="character" w:customStyle="1" w:styleId="Char2">
    <w:name w:val="页眉 Char"/>
    <w:basedOn w:val="a5"/>
    <w:link w:val="ab"/>
    <w:qFormat/>
    <w:rPr>
      <w:kern w:val="2"/>
      <w:sz w:val="18"/>
      <w:szCs w:val="18"/>
    </w:rPr>
  </w:style>
  <w:style w:type="character" w:customStyle="1" w:styleId="Char1">
    <w:name w:val="页脚 Char"/>
    <w:basedOn w:val="a5"/>
    <w:link w:val="aa"/>
    <w:qFormat/>
    <w:rPr>
      <w:kern w:val="2"/>
      <w:sz w:val="18"/>
      <w:szCs w:val="18"/>
    </w:rPr>
  </w:style>
  <w:style w:type="character" w:customStyle="1" w:styleId="Char">
    <w:name w:val="批注文字 Char"/>
    <w:basedOn w:val="a5"/>
    <w:link w:val="a8"/>
    <w:qFormat/>
    <w:rPr>
      <w:kern w:val="2"/>
      <w:sz w:val="21"/>
      <w:szCs w:val="24"/>
    </w:rPr>
  </w:style>
  <w:style w:type="character" w:customStyle="1" w:styleId="Char3">
    <w:name w:val="批注主题 Char"/>
    <w:basedOn w:val="Char"/>
    <w:link w:val="ad"/>
    <w:qFormat/>
    <w:rPr>
      <w:b/>
      <w:bCs/>
      <w:kern w:val="2"/>
      <w:sz w:val="21"/>
      <w:szCs w:val="24"/>
    </w:rPr>
  </w:style>
  <w:style w:type="character" w:customStyle="1" w:styleId="Char0">
    <w:name w:val="批注框文本 Char"/>
    <w:basedOn w:val="a5"/>
    <w:link w:val="a9"/>
    <w:qFormat/>
    <w:rPr>
      <w:kern w:val="2"/>
      <w:sz w:val="18"/>
      <w:szCs w:val="18"/>
    </w:rPr>
  </w:style>
  <w:style w:type="paragraph" w:customStyle="1" w:styleId="reader-word-layer">
    <w:name w:val="reader-word-layer"/>
    <w:basedOn w:val="a4"/>
    <w:qFormat/>
    <w:pPr>
      <w:widowControl/>
      <w:spacing w:before="100" w:beforeAutospacing="1" w:after="100" w:afterAutospacing="1"/>
      <w:jc w:val="left"/>
    </w:pPr>
    <w:rPr>
      <w:rFonts w:ascii="宋体" w:hAnsi="宋体" w:cs="宋体"/>
      <w:kern w:val="0"/>
      <w:sz w:val="24"/>
    </w:rPr>
  </w:style>
  <w:style w:type="character" w:customStyle="1" w:styleId="Char4">
    <w:name w:val="标准文件_段 Char"/>
    <w:link w:val="af1"/>
    <w:qFormat/>
    <w:rPr>
      <w:rFonts w:ascii="宋体"/>
      <w:sz w:val="21"/>
    </w:rPr>
  </w:style>
  <w:style w:type="paragraph" w:customStyle="1" w:styleId="af1">
    <w:name w:val="标准文件_段"/>
    <w:link w:val="Char4"/>
    <w:qFormat/>
    <w:pPr>
      <w:autoSpaceDE w:val="0"/>
      <w:autoSpaceDN w:val="0"/>
      <w:ind w:firstLineChars="200" w:firstLine="200"/>
      <w:jc w:val="both"/>
    </w:pPr>
    <w:rPr>
      <w:rFonts w:ascii="宋体"/>
      <w:sz w:val="21"/>
    </w:rPr>
  </w:style>
  <w:style w:type="character" w:customStyle="1" w:styleId="9Char">
    <w:name w:val="标题 9 Char"/>
    <w:basedOn w:val="a5"/>
    <w:link w:val="9"/>
    <w:qFormat/>
    <w:rPr>
      <w:rFonts w:asciiTheme="majorHAnsi" w:eastAsiaTheme="majorEastAsia" w:hAnsiTheme="majorHAnsi" w:cstheme="majorBid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pPr>
      <w:widowControl w:val="0"/>
      <w:jc w:val="both"/>
    </w:pPr>
    <w:rPr>
      <w:kern w:val="2"/>
      <w:sz w:val="21"/>
      <w:szCs w:val="24"/>
    </w:rPr>
  </w:style>
  <w:style w:type="paragraph" w:styleId="2">
    <w:name w:val="heading 2"/>
    <w:basedOn w:val="a4"/>
    <w:next w:val="a4"/>
    <w:semiHidden/>
    <w:unhideWhenUsed/>
    <w:qFormat/>
    <w:pPr>
      <w:spacing w:beforeAutospacing="1" w:afterAutospacing="1"/>
      <w:jc w:val="left"/>
      <w:outlineLvl w:val="1"/>
    </w:pPr>
    <w:rPr>
      <w:rFonts w:ascii="宋体" w:hAnsi="宋体" w:hint="eastAsia"/>
      <w:b/>
      <w:kern w:val="0"/>
      <w:sz w:val="36"/>
      <w:szCs w:val="36"/>
    </w:rPr>
  </w:style>
  <w:style w:type="paragraph" w:styleId="9">
    <w:name w:val="heading 9"/>
    <w:basedOn w:val="a4"/>
    <w:next w:val="a4"/>
    <w:link w:val="9Char"/>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Char"/>
    <w:qFormat/>
    <w:pPr>
      <w:jc w:val="left"/>
    </w:pPr>
  </w:style>
  <w:style w:type="paragraph" w:styleId="a9">
    <w:name w:val="Balloon Text"/>
    <w:basedOn w:val="a4"/>
    <w:link w:val="Char0"/>
    <w:qFormat/>
    <w:rPr>
      <w:sz w:val="18"/>
      <w:szCs w:val="18"/>
    </w:rPr>
  </w:style>
  <w:style w:type="paragraph" w:styleId="aa">
    <w:name w:val="footer"/>
    <w:basedOn w:val="a4"/>
    <w:link w:val="Char1"/>
    <w:qFormat/>
    <w:pPr>
      <w:tabs>
        <w:tab w:val="center" w:pos="4153"/>
        <w:tab w:val="right" w:pos="8306"/>
      </w:tabs>
      <w:snapToGrid w:val="0"/>
      <w:jc w:val="left"/>
    </w:pPr>
    <w:rPr>
      <w:sz w:val="18"/>
      <w:szCs w:val="18"/>
    </w:rPr>
  </w:style>
  <w:style w:type="paragraph" w:styleId="ab">
    <w:name w:val="header"/>
    <w:basedOn w:val="a4"/>
    <w:link w:val="Char2"/>
    <w:qFormat/>
    <w:pPr>
      <w:pBdr>
        <w:bottom w:val="single" w:sz="6" w:space="1" w:color="auto"/>
      </w:pBdr>
      <w:tabs>
        <w:tab w:val="center" w:pos="4153"/>
        <w:tab w:val="right" w:pos="8306"/>
      </w:tabs>
      <w:snapToGrid w:val="0"/>
      <w:jc w:val="center"/>
    </w:pPr>
    <w:rPr>
      <w:sz w:val="18"/>
      <w:szCs w:val="18"/>
    </w:rPr>
  </w:style>
  <w:style w:type="paragraph" w:styleId="ac">
    <w:name w:val="Normal (Web)"/>
    <w:basedOn w:val="a4"/>
    <w:qFormat/>
    <w:pPr>
      <w:widowControl/>
      <w:spacing w:before="100" w:beforeAutospacing="1" w:after="100" w:afterAutospacing="1" w:line="330" w:lineRule="atLeast"/>
      <w:jc w:val="left"/>
    </w:pPr>
    <w:rPr>
      <w:rFonts w:ascii="宋体" w:hAnsi="宋体" w:cs="宋体"/>
      <w:color w:val="000000"/>
      <w:kern w:val="0"/>
      <w:szCs w:val="21"/>
    </w:rPr>
  </w:style>
  <w:style w:type="paragraph" w:styleId="ad">
    <w:name w:val="annotation subject"/>
    <w:basedOn w:val="a8"/>
    <w:next w:val="a8"/>
    <w:link w:val="Char3"/>
    <w:qFormat/>
    <w:rPr>
      <w:b/>
      <w:bCs/>
    </w:rPr>
  </w:style>
  <w:style w:type="character" w:styleId="ae">
    <w:name w:val="annotation reference"/>
    <w:basedOn w:val="a5"/>
    <w:qFormat/>
    <w:rPr>
      <w:sz w:val="21"/>
      <w:szCs w:val="21"/>
    </w:rPr>
  </w:style>
  <w:style w:type="paragraph" w:customStyle="1" w:styleId="af">
    <w:name w:val="目次、标准名称标题"/>
    <w:basedOn w:val="a"/>
    <w:next w:val="af0"/>
    <w:qFormat/>
    <w:pPr>
      <w:numPr>
        <w:numId w:val="0"/>
      </w:numPr>
      <w:spacing w:line="460" w:lineRule="exact"/>
    </w:pPr>
  </w:style>
  <w:style w:type="paragraph" w:customStyle="1" w:styleId="a">
    <w:name w:val="前言、引言标题"/>
    <w:next w:val="a4"/>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0">
    <w:name w:val="段"/>
    <w:qFormat/>
    <w:pPr>
      <w:autoSpaceDE w:val="0"/>
      <w:autoSpaceDN w:val="0"/>
      <w:ind w:firstLineChars="200" w:firstLine="200"/>
      <w:jc w:val="both"/>
    </w:pPr>
    <w:rPr>
      <w:rFonts w:ascii="宋体"/>
      <w:sz w:val="21"/>
    </w:rPr>
  </w:style>
  <w:style w:type="paragraph" w:customStyle="1" w:styleId="a3">
    <w:name w:val="三级条标题"/>
    <w:basedOn w:val="a2"/>
    <w:next w:val="af0"/>
    <w:qFormat/>
    <w:pPr>
      <w:numPr>
        <w:ilvl w:val="4"/>
      </w:numPr>
      <w:outlineLvl w:val="4"/>
    </w:pPr>
  </w:style>
  <w:style w:type="paragraph" w:customStyle="1" w:styleId="a2">
    <w:name w:val="二级条标题"/>
    <w:basedOn w:val="a1"/>
    <w:next w:val="af0"/>
    <w:qFormat/>
    <w:pPr>
      <w:numPr>
        <w:ilvl w:val="3"/>
      </w:numPr>
      <w:outlineLvl w:val="3"/>
    </w:pPr>
  </w:style>
  <w:style w:type="paragraph" w:customStyle="1" w:styleId="a1">
    <w:name w:val="一级条标题"/>
    <w:basedOn w:val="a0"/>
    <w:next w:val="af0"/>
    <w:qFormat/>
    <w:pPr>
      <w:numPr>
        <w:ilvl w:val="2"/>
      </w:numPr>
      <w:spacing w:beforeLines="0" w:afterLines="0"/>
      <w:outlineLvl w:val="2"/>
    </w:pPr>
  </w:style>
  <w:style w:type="paragraph" w:customStyle="1" w:styleId="a0">
    <w:name w:val="章标题"/>
    <w:next w:val="af0"/>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5"/>
    <w:qFormat/>
    <w:rPr>
      <w:rFonts w:ascii="宋体" w:eastAsia="宋体" w:hAnsi="宋体" w:cs="宋体"/>
      <w:color w:val="FFFFFF"/>
      <w:sz w:val="18"/>
      <w:szCs w:val="18"/>
    </w:rPr>
  </w:style>
  <w:style w:type="character" w:customStyle="1" w:styleId="fontstyle21">
    <w:name w:val="fontstyle21"/>
    <w:basedOn w:val="a5"/>
    <w:qFormat/>
    <w:rPr>
      <w:rFonts w:ascii="B5 + CAJSymbolA" w:eastAsia="B5 + CAJSymbolA" w:hAnsi="B5 + CAJSymbolA" w:cs="B5 + CAJSymbolA"/>
      <w:color w:val="FFFFFF"/>
      <w:sz w:val="6"/>
      <w:szCs w:val="6"/>
    </w:rPr>
  </w:style>
  <w:style w:type="character" w:customStyle="1" w:styleId="font11">
    <w:name w:val="font11"/>
    <w:basedOn w:val="a5"/>
    <w:qFormat/>
    <w:rPr>
      <w:rFonts w:ascii="宋体" w:eastAsia="宋体" w:hAnsi="宋体" w:cs="宋体" w:hint="eastAsia"/>
      <w:color w:val="000000"/>
      <w:sz w:val="21"/>
      <w:szCs w:val="21"/>
      <w:u w:val="none"/>
    </w:rPr>
  </w:style>
  <w:style w:type="character" w:customStyle="1" w:styleId="font01">
    <w:name w:val="font01"/>
    <w:basedOn w:val="a5"/>
    <w:qFormat/>
    <w:rPr>
      <w:rFonts w:ascii="Arial" w:hAnsi="Arial" w:cs="Arial"/>
      <w:color w:val="000000"/>
      <w:sz w:val="21"/>
      <w:szCs w:val="21"/>
      <w:u w:val="none"/>
    </w:rPr>
  </w:style>
  <w:style w:type="character" w:customStyle="1" w:styleId="Char2">
    <w:name w:val="页眉 Char"/>
    <w:basedOn w:val="a5"/>
    <w:link w:val="ab"/>
    <w:qFormat/>
    <w:rPr>
      <w:kern w:val="2"/>
      <w:sz w:val="18"/>
      <w:szCs w:val="18"/>
    </w:rPr>
  </w:style>
  <w:style w:type="character" w:customStyle="1" w:styleId="Char1">
    <w:name w:val="页脚 Char"/>
    <w:basedOn w:val="a5"/>
    <w:link w:val="aa"/>
    <w:qFormat/>
    <w:rPr>
      <w:kern w:val="2"/>
      <w:sz w:val="18"/>
      <w:szCs w:val="18"/>
    </w:rPr>
  </w:style>
  <w:style w:type="character" w:customStyle="1" w:styleId="Char">
    <w:name w:val="批注文字 Char"/>
    <w:basedOn w:val="a5"/>
    <w:link w:val="a8"/>
    <w:qFormat/>
    <w:rPr>
      <w:kern w:val="2"/>
      <w:sz w:val="21"/>
      <w:szCs w:val="24"/>
    </w:rPr>
  </w:style>
  <w:style w:type="character" w:customStyle="1" w:styleId="Char3">
    <w:name w:val="批注主题 Char"/>
    <w:basedOn w:val="Char"/>
    <w:link w:val="ad"/>
    <w:qFormat/>
    <w:rPr>
      <w:b/>
      <w:bCs/>
      <w:kern w:val="2"/>
      <w:sz w:val="21"/>
      <w:szCs w:val="24"/>
    </w:rPr>
  </w:style>
  <w:style w:type="character" w:customStyle="1" w:styleId="Char0">
    <w:name w:val="批注框文本 Char"/>
    <w:basedOn w:val="a5"/>
    <w:link w:val="a9"/>
    <w:qFormat/>
    <w:rPr>
      <w:kern w:val="2"/>
      <w:sz w:val="18"/>
      <w:szCs w:val="18"/>
    </w:rPr>
  </w:style>
  <w:style w:type="paragraph" w:customStyle="1" w:styleId="reader-word-layer">
    <w:name w:val="reader-word-layer"/>
    <w:basedOn w:val="a4"/>
    <w:qFormat/>
    <w:pPr>
      <w:widowControl/>
      <w:spacing w:before="100" w:beforeAutospacing="1" w:after="100" w:afterAutospacing="1"/>
      <w:jc w:val="left"/>
    </w:pPr>
    <w:rPr>
      <w:rFonts w:ascii="宋体" w:hAnsi="宋体" w:cs="宋体"/>
      <w:kern w:val="0"/>
      <w:sz w:val="24"/>
    </w:rPr>
  </w:style>
  <w:style w:type="character" w:customStyle="1" w:styleId="Char4">
    <w:name w:val="标准文件_段 Char"/>
    <w:link w:val="af1"/>
    <w:qFormat/>
    <w:rPr>
      <w:rFonts w:ascii="宋体"/>
      <w:sz w:val="21"/>
    </w:rPr>
  </w:style>
  <w:style w:type="paragraph" w:customStyle="1" w:styleId="af1">
    <w:name w:val="标准文件_段"/>
    <w:link w:val="Char4"/>
    <w:qFormat/>
    <w:pPr>
      <w:autoSpaceDE w:val="0"/>
      <w:autoSpaceDN w:val="0"/>
      <w:ind w:firstLineChars="200" w:firstLine="200"/>
      <w:jc w:val="both"/>
    </w:pPr>
    <w:rPr>
      <w:rFonts w:ascii="宋体"/>
      <w:sz w:val="21"/>
    </w:rPr>
  </w:style>
  <w:style w:type="character" w:customStyle="1" w:styleId="9Char">
    <w:name w:val="标题 9 Char"/>
    <w:basedOn w:val="a5"/>
    <w:link w:val="9"/>
    <w:qFormat/>
    <w:rPr>
      <w:rFonts w:asciiTheme="majorHAnsi" w:eastAsiaTheme="majorEastAsia" w:hAnsiTheme="majorHAnsi" w:cstheme="maj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idu.com/link?url=x_MGXR6Joah8VaSSxsiiGSnCcky7ufZfWUP8t1un8PXsmFo48_yyz-nu0l5Otc4WqP8pFRMm8UpLIBNpoGiDlNrq1HWdlnXIEtu52VlJZFu&amp;wd=&amp;eqid=fdf05d120005c56900000003630c797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363</Words>
  <Characters>2074</Characters>
  <Application>Microsoft Office Word</Application>
  <DocSecurity>0</DocSecurity>
  <Lines>17</Lines>
  <Paragraphs>4</Paragraphs>
  <ScaleCrop>false</ScaleCrop>
  <Company>china</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万增辉</cp:lastModifiedBy>
  <cp:revision>67</cp:revision>
  <dcterms:created xsi:type="dcterms:W3CDTF">2019-03-03T03:25:00Z</dcterms:created>
  <dcterms:modified xsi:type="dcterms:W3CDTF">2023-10-16T00:23:00Z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FE5F0DAAFB6C479E9F27E1468DD85C04_13</vt:lpwstr>
  </property>
</Properties>
</file>