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6ECD" w:rsidRDefault="005C6ECD">
      <w:pPr>
        <w:pStyle w:val="af"/>
        <w:spacing w:before="0" w:after="0"/>
        <w:rPr>
          <w:sz w:val="36"/>
          <w:szCs w:val="36"/>
        </w:rPr>
      </w:pPr>
    </w:p>
    <w:p w:rsidR="005C6ECD" w:rsidRDefault="001D0C5E">
      <w:pPr>
        <w:pStyle w:val="af"/>
        <w:spacing w:before="0" w:after="0" w:line="500" w:lineRule="exact"/>
        <w:rPr>
          <w:sz w:val="36"/>
          <w:szCs w:val="36"/>
        </w:rPr>
      </w:pPr>
      <w:r>
        <w:rPr>
          <w:rFonts w:hint="eastAsia"/>
          <w:sz w:val="36"/>
          <w:szCs w:val="36"/>
        </w:rPr>
        <w:t>河北省特种设备学会团体标准</w:t>
      </w:r>
    </w:p>
    <w:p w:rsidR="005C6ECD" w:rsidRDefault="001D0C5E">
      <w:pPr>
        <w:pStyle w:val="af"/>
        <w:spacing w:before="0" w:after="0" w:line="500" w:lineRule="exact"/>
        <w:rPr>
          <w:sz w:val="36"/>
          <w:szCs w:val="36"/>
        </w:rPr>
      </w:pPr>
      <w:r>
        <w:rPr>
          <w:rFonts w:hint="eastAsia"/>
          <w:sz w:val="36"/>
          <w:szCs w:val="36"/>
        </w:rPr>
        <w:t>《燃油（气）锅炉司炉操作规程》</w:t>
      </w:r>
    </w:p>
    <w:p w:rsidR="005C6ECD" w:rsidRDefault="001D0C5E">
      <w:pPr>
        <w:pStyle w:val="af"/>
        <w:spacing w:before="0" w:after="0" w:line="500" w:lineRule="exact"/>
        <w:rPr>
          <w:sz w:val="36"/>
          <w:szCs w:val="36"/>
        </w:rPr>
      </w:pPr>
      <w:r>
        <w:rPr>
          <w:rFonts w:hint="eastAsia"/>
          <w:sz w:val="36"/>
          <w:szCs w:val="36"/>
        </w:rPr>
        <w:t>编制说明</w:t>
      </w:r>
    </w:p>
    <w:p w:rsidR="005C6ECD" w:rsidRDefault="005C6ECD">
      <w:pPr>
        <w:pStyle w:val="af0"/>
        <w:ind w:firstLineChars="0" w:firstLine="0"/>
      </w:pPr>
    </w:p>
    <w:p w:rsidR="005C6ECD" w:rsidRDefault="001D0C5E">
      <w:pPr>
        <w:pStyle w:val="af0"/>
        <w:spacing w:line="440" w:lineRule="exact"/>
        <w:ind w:firstLine="562"/>
        <w:rPr>
          <w:rFonts w:ascii="仿宋_GB2312" w:eastAsia="仿宋_GB2312" w:hAnsi="宋体"/>
          <w:b/>
          <w:kern w:val="2"/>
          <w:sz w:val="28"/>
          <w:szCs w:val="28"/>
        </w:rPr>
      </w:pPr>
      <w:r>
        <w:rPr>
          <w:rFonts w:ascii="仿宋_GB2312" w:eastAsia="仿宋_GB2312" w:hAnsi="宋体" w:hint="eastAsia"/>
          <w:b/>
          <w:kern w:val="2"/>
          <w:sz w:val="28"/>
          <w:szCs w:val="28"/>
        </w:rPr>
        <w:t>一、工作简况</w:t>
      </w:r>
    </w:p>
    <w:p w:rsidR="005C6ECD" w:rsidRDefault="001D0C5E">
      <w:pPr>
        <w:pStyle w:val="af0"/>
        <w:spacing w:line="440" w:lineRule="exact"/>
        <w:ind w:firstLine="560"/>
        <w:rPr>
          <w:rFonts w:ascii="仿宋_GB2312" w:eastAsia="仿宋_GB2312"/>
          <w:sz w:val="28"/>
          <w:szCs w:val="28"/>
        </w:rPr>
      </w:pPr>
      <w:r>
        <w:rPr>
          <w:rFonts w:ascii="仿宋_GB2312" w:eastAsia="仿宋_GB2312" w:hint="eastAsia"/>
          <w:sz w:val="28"/>
          <w:szCs w:val="28"/>
        </w:rPr>
        <w:t>（一）任务来源</w:t>
      </w:r>
    </w:p>
    <w:p w:rsidR="005C6ECD" w:rsidRDefault="001D0C5E">
      <w:pPr>
        <w:pStyle w:val="af0"/>
        <w:spacing w:line="440" w:lineRule="exact"/>
        <w:ind w:firstLine="560"/>
        <w:rPr>
          <w:rFonts w:ascii="仿宋_GB2312" w:eastAsia="仿宋_GB2312"/>
          <w:sz w:val="28"/>
          <w:szCs w:val="28"/>
        </w:rPr>
      </w:pPr>
      <w:r>
        <w:rPr>
          <w:rFonts w:ascii="仿宋_GB2312" w:eastAsia="仿宋_GB2312" w:hint="eastAsia"/>
          <w:sz w:val="28"/>
          <w:szCs w:val="28"/>
        </w:rPr>
        <w:t>本标准由河北省市场监督管理局</w:t>
      </w:r>
      <w:r>
        <w:rPr>
          <w:rFonts w:ascii="仿宋_GB2312" w:eastAsia="仿宋_GB2312" w:hint="eastAsia"/>
          <w:sz w:val="28"/>
          <w:szCs w:val="28"/>
        </w:rPr>
        <w:t>提出，经河北省特种设备学会批准，正式列入</w:t>
      </w:r>
      <w:r>
        <w:rPr>
          <w:rFonts w:ascii="仿宋_GB2312" w:eastAsia="仿宋_GB2312" w:hint="eastAsia"/>
          <w:sz w:val="28"/>
          <w:szCs w:val="28"/>
        </w:rPr>
        <w:t>2023</w:t>
      </w:r>
      <w:r>
        <w:rPr>
          <w:rFonts w:ascii="仿宋_GB2312" w:eastAsia="仿宋_GB2312" w:hint="eastAsia"/>
          <w:sz w:val="28"/>
          <w:szCs w:val="28"/>
        </w:rPr>
        <w:t>年河北省特种设备学会团体标准制修订计划，项目编号为</w:t>
      </w:r>
      <w:r w:rsidRPr="001D0C5E">
        <w:rPr>
          <w:rFonts w:ascii="仿宋_GB2312" w:eastAsia="仿宋_GB2312" w:hint="eastAsia"/>
          <w:sz w:val="28"/>
          <w:szCs w:val="28"/>
        </w:rPr>
        <w:t>CY202307</w:t>
      </w:r>
      <w:r>
        <w:rPr>
          <w:rFonts w:ascii="仿宋_GB2312" w:eastAsia="仿宋_GB2312" w:hint="eastAsia"/>
          <w:sz w:val="28"/>
          <w:szCs w:val="28"/>
        </w:rPr>
        <w:t>，项目名称为《燃油（气）锅炉司炉操作规程》。</w:t>
      </w:r>
    </w:p>
    <w:p w:rsidR="005C6ECD" w:rsidRDefault="001D0C5E">
      <w:pPr>
        <w:pStyle w:val="af0"/>
        <w:spacing w:line="440" w:lineRule="exact"/>
        <w:ind w:firstLine="560"/>
        <w:rPr>
          <w:rFonts w:ascii="仿宋_GB2312" w:eastAsia="仿宋_GB2312"/>
          <w:sz w:val="28"/>
          <w:szCs w:val="28"/>
        </w:rPr>
      </w:pPr>
      <w:r>
        <w:rPr>
          <w:rFonts w:ascii="仿宋_GB2312" w:eastAsia="仿宋_GB2312" w:hint="eastAsia"/>
          <w:sz w:val="28"/>
          <w:szCs w:val="28"/>
        </w:rPr>
        <w:t>本标准起草单位：河北省特种设备技术检查中心</w:t>
      </w:r>
      <w:r>
        <w:rPr>
          <w:rFonts w:ascii="仿宋_GB2312" w:eastAsia="仿宋_GB2312" w:hint="eastAsia"/>
          <w:sz w:val="28"/>
          <w:szCs w:val="28"/>
        </w:rPr>
        <w:t>。</w:t>
      </w:r>
    </w:p>
    <w:p w:rsidR="005C6ECD" w:rsidRDefault="001D0C5E">
      <w:pPr>
        <w:pStyle w:val="af0"/>
        <w:spacing w:line="440" w:lineRule="exact"/>
        <w:ind w:firstLine="560"/>
        <w:rPr>
          <w:rFonts w:ascii="仿宋_GB2312" w:eastAsia="仿宋_GB2312"/>
          <w:sz w:val="28"/>
          <w:szCs w:val="28"/>
        </w:rPr>
      </w:pPr>
      <w:r>
        <w:rPr>
          <w:rFonts w:ascii="仿宋_GB2312" w:eastAsia="仿宋_GB2312" w:hint="eastAsia"/>
          <w:sz w:val="28"/>
          <w:szCs w:val="28"/>
        </w:rPr>
        <w:t>本标准主要起草人：张兵、许永坤、</w:t>
      </w:r>
      <w:proofErr w:type="gramStart"/>
      <w:r>
        <w:rPr>
          <w:rFonts w:ascii="仿宋_GB2312" w:eastAsia="仿宋_GB2312" w:hint="eastAsia"/>
          <w:sz w:val="28"/>
          <w:szCs w:val="28"/>
        </w:rPr>
        <w:t>弓建东</w:t>
      </w:r>
      <w:proofErr w:type="gramEnd"/>
      <w:r>
        <w:rPr>
          <w:rFonts w:ascii="仿宋_GB2312" w:eastAsia="仿宋_GB2312" w:hint="eastAsia"/>
          <w:sz w:val="28"/>
          <w:szCs w:val="28"/>
        </w:rPr>
        <w:t>、宋珂、张嘉桓、田月皓、高伟。</w:t>
      </w:r>
    </w:p>
    <w:p w:rsidR="005C6ECD" w:rsidRDefault="001D0C5E">
      <w:pPr>
        <w:pStyle w:val="af0"/>
        <w:spacing w:line="440" w:lineRule="exact"/>
        <w:ind w:firstLine="560"/>
        <w:rPr>
          <w:rFonts w:ascii="仿宋_GB2312" w:eastAsia="仿宋_GB2312"/>
          <w:sz w:val="28"/>
          <w:szCs w:val="28"/>
        </w:rPr>
      </w:pPr>
      <w:r>
        <w:rPr>
          <w:rFonts w:ascii="仿宋_GB2312" w:eastAsia="仿宋_GB2312" w:hint="eastAsia"/>
          <w:sz w:val="28"/>
          <w:szCs w:val="28"/>
        </w:rPr>
        <w:t>（二）制定背景</w:t>
      </w:r>
    </w:p>
    <w:p w:rsidR="005C6ECD" w:rsidRDefault="001D0C5E">
      <w:pPr>
        <w:pStyle w:val="af0"/>
        <w:spacing w:line="440" w:lineRule="exact"/>
        <w:ind w:firstLine="560"/>
        <w:rPr>
          <w:rFonts w:ascii="仿宋_GB2312" w:eastAsia="仿宋_GB2312"/>
          <w:sz w:val="28"/>
          <w:szCs w:val="28"/>
        </w:rPr>
      </w:pPr>
      <w:r>
        <w:rPr>
          <w:rFonts w:ascii="仿宋_GB2312" w:eastAsia="仿宋_GB2312" w:hint="eastAsia"/>
          <w:sz w:val="28"/>
          <w:szCs w:val="28"/>
        </w:rPr>
        <w:t>1.</w:t>
      </w:r>
      <w:r>
        <w:rPr>
          <w:rFonts w:ascii="仿宋_GB2312" w:eastAsia="仿宋_GB2312" w:hint="eastAsia"/>
          <w:sz w:val="28"/>
          <w:szCs w:val="28"/>
        </w:rPr>
        <w:t>目的</w:t>
      </w:r>
    </w:p>
    <w:p w:rsidR="005C6ECD" w:rsidRDefault="001D0C5E">
      <w:pPr>
        <w:pStyle w:val="af0"/>
        <w:spacing w:line="440" w:lineRule="exact"/>
        <w:ind w:firstLine="560"/>
        <w:rPr>
          <w:rFonts w:ascii="仿宋_GB2312" w:eastAsia="仿宋_GB2312"/>
          <w:sz w:val="28"/>
          <w:szCs w:val="28"/>
        </w:rPr>
      </w:pPr>
      <w:r>
        <w:rPr>
          <w:rFonts w:ascii="仿宋_GB2312" w:eastAsia="仿宋_GB2312" w:hint="eastAsia"/>
          <w:sz w:val="28"/>
          <w:szCs w:val="28"/>
        </w:rPr>
        <w:t>规范河北省内燃油（气）锅炉司炉人员基本操作，减少因日常操作不规范，应急处置不得当引发的锅炉故障或事故。</w:t>
      </w:r>
    </w:p>
    <w:p w:rsidR="005C6ECD" w:rsidRDefault="001D0C5E">
      <w:pPr>
        <w:pStyle w:val="af0"/>
        <w:spacing w:line="440" w:lineRule="exact"/>
        <w:ind w:firstLine="560"/>
        <w:rPr>
          <w:rFonts w:ascii="仿宋_GB2312" w:eastAsia="仿宋_GB2312"/>
          <w:sz w:val="28"/>
          <w:szCs w:val="28"/>
        </w:rPr>
      </w:pPr>
      <w:r>
        <w:rPr>
          <w:rFonts w:ascii="仿宋_GB2312" w:eastAsia="仿宋_GB2312" w:hint="eastAsia"/>
          <w:sz w:val="28"/>
          <w:szCs w:val="28"/>
        </w:rPr>
        <w:t>2.</w:t>
      </w:r>
      <w:r>
        <w:rPr>
          <w:rFonts w:ascii="仿宋_GB2312" w:eastAsia="仿宋_GB2312" w:hint="eastAsia"/>
          <w:sz w:val="28"/>
          <w:szCs w:val="28"/>
        </w:rPr>
        <w:t>意义</w:t>
      </w:r>
    </w:p>
    <w:p w:rsidR="005C6ECD" w:rsidRDefault="001D0C5E">
      <w:pPr>
        <w:pStyle w:val="af0"/>
        <w:spacing w:line="440" w:lineRule="exact"/>
        <w:ind w:firstLine="560"/>
        <w:rPr>
          <w:rFonts w:ascii="仿宋_GB2312" w:eastAsia="仿宋_GB2312"/>
          <w:sz w:val="28"/>
          <w:szCs w:val="28"/>
        </w:rPr>
      </w:pPr>
      <w:r>
        <w:rPr>
          <w:rFonts w:ascii="仿宋_GB2312" w:eastAsia="仿宋_GB2312" w:hint="eastAsia"/>
          <w:sz w:val="28"/>
          <w:szCs w:val="28"/>
        </w:rPr>
        <w:t>河北省内登记注册锅炉数量</w:t>
      </w:r>
      <w:r>
        <w:rPr>
          <w:rFonts w:ascii="仿宋_GB2312" w:eastAsia="仿宋_GB2312" w:hint="eastAsia"/>
          <w:sz w:val="28"/>
          <w:szCs w:val="28"/>
        </w:rPr>
        <w:t>17589</w:t>
      </w:r>
      <w:r>
        <w:rPr>
          <w:rFonts w:ascii="仿宋_GB2312" w:eastAsia="仿宋_GB2312" w:hint="eastAsia"/>
          <w:sz w:val="28"/>
          <w:szCs w:val="28"/>
        </w:rPr>
        <w:t>台，绝大数为燃油（气）锅炉。一旦发生事故，容易造成群死群伤。当前工业燃油（气）锅炉在安全管理上还暴露出不少问题，直接威胁设备和人民财产安全。</w:t>
      </w:r>
    </w:p>
    <w:p w:rsidR="005C6ECD" w:rsidRDefault="001D0C5E">
      <w:pPr>
        <w:pStyle w:val="af0"/>
        <w:spacing w:line="440" w:lineRule="exact"/>
        <w:ind w:firstLine="560"/>
        <w:rPr>
          <w:rFonts w:ascii="仿宋_GB2312" w:eastAsia="仿宋_GB2312"/>
          <w:sz w:val="28"/>
          <w:szCs w:val="28"/>
        </w:rPr>
      </w:pPr>
      <w:r>
        <w:rPr>
          <w:rFonts w:ascii="仿宋_GB2312" w:eastAsia="仿宋_GB2312" w:hint="eastAsia"/>
          <w:sz w:val="28"/>
          <w:szCs w:val="28"/>
        </w:rPr>
        <w:t>根据燃油（气）锅炉</w:t>
      </w:r>
      <w:r>
        <w:rPr>
          <w:rFonts w:ascii="仿宋_GB2312" w:eastAsia="仿宋_GB2312" w:hint="eastAsia"/>
          <w:sz w:val="28"/>
          <w:szCs w:val="28"/>
        </w:rPr>
        <w:t>事故</w:t>
      </w:r>
      <w:r>
        <w:rPr>
          <w:rFonts w:ascii="仿宋_GB2312" w:eastAsia="仿宋_GB2312" w:hint="eastAsia"/>
          <w:sz w:val="28"/>
          <w:szCs w:val="28"/>
        </w:rPr>
        <w:t>结案材料分析，事故原因主要分三类：一是因使用、管理不当发生事故，约占</w:t>
      </w:r>
      <w:r>
        <w:rPr>
          <w:rFonts w:ascii="仿宋_GB2312" w:eastAsia="仿宋_GB2312" w:hint="eastAsia"/>
          <w:sz w:val="28"/>
          <w:szCs w:val="28"/>
        </w:rPr>
        <w:t>80.00%</w:t>
      </w:r>
      <w:r>
        <w:rPr>
          <w:rFonts w:ascii="仿宋_GB2312" w:eastAsia="仿宋_GB2312" w:hint="eastAsia"/>
          <w:sz w:val="28"/>
          <w:szCs w:val="28"/>
        </w:rPr>
        <w:t>。违章作业仍是造成事故的主要原因，具体表现为作业人员违章操作、操作不当甚至无证作业，维护缺失，管理不善等。二是因维护保养</w:t>
      </w:r>
      <w:r>
        <w:rPr>
          <w:rFonts w:ascii="仿宋_GB2312" w:eastAsia="仿宋_GB2312" w:hint="eastAsia"/>
          <w:sz w:val="28"/>
          <w:szCs w:val="28"/>
        </w:rPr>
        <w:t>不到位造成的安全部件失效及保护装置失灵的事故约占</w:t>
      </w:r>
      <w:r>
        <w:rPr>
          <w:rFonts w:ascii="仿宋_GB2312" w:eastAsia="仿宋_GB2312" w:hint="eastAsia"/>
          <w:sz w:val="28"/>
          <w:szCs w:val="28"/>
        </w:rPr>
        <w:t>18.33%</w:t>
      </w:r>
      <w:r>
        <w:rPr>
          <w:rFonts w:ascii="仿宋_GB2312" w:eastAsia="仿宋_GB2312" w:hint="eastAsia"/>
          <w:sz w:val="28"/>
          <w:szCs w:val="28"/>
        </w:rPr>
        <w:t>。</w:t>
      </w:r>
    </w:p>
    <w:p w:rsidR="005C6ECD" w:rsidRDefault="001D0C5E">
      <w:pPr>
        <w:pStyle w:val="af0"/>
        <w:spacing w:line="440" w:lineRule="exact"/>
        <w:ind w:firstLine="560"/>
        <w:rPr>
          <w:rFonts w:ascii="仿宋_GB2312" w:eastAsia="仿宋_GB2312"/>
          <w:sz w:val="28"/>
          <w:szCs w:val="28"/>
        </w:rPr>
      </w:pPr>
      <w:r>
        <w:rPr>
          <w:rFonts w:ascii="仿宋_GB2312" w:eastAsia="仿宋_GB2312" w:hint="eastAsia"/>
          <w:sz w:val="28"/>
          <w:szCs w:val="28"/>
        </w:rPr>
        <w:t>河北省特种设备学会团体标准《燃油（气）锅炉司炉操作规程》的制定和实施，适应全省燃油（气）锅炉规范运行操作的需要，指导督促相关使用单位编制与锅炉相适应的、可操作性强的</w:t>
      </w:r>
      <w:proofErr w:type="gramStart"/>
      <w:r>
        <w:rPr>
          <w:rFonts w:ascii="仿宋_GB2312" w:eastAsia="仿宋_GB2312" w:hint="eastAsia"/>
          <w:sz w:val="28"/>
          <w:szCs w:val="28"/>
        </w:rPr>
        <w:t>的</w:t>
      </w:r>
      <w:proofErr w:type="gramEnd"/>
      <w:r>
        <w:rPr>
          <w:rFonts w:ascii="仿宋_GB2312" w:eastAsia="仿宋_GB2312" w:hint="eastAsia"/>
          <w:sz w:val="28"/>
          <w:szCs w:val="28"/>
        </w:rPr>
        <w:t>操作规程。提升作业人员的安全意识</w:t>
      </w:r>
      <w:r>
        <w:rPr>
          <w:rFonts w:ascii="仿宋_GB2312" w:eastAsia="仿宋_GB2312" w:hint="eastAsia"/>
          <w:sz w:val="28"/>
          <w:szCs w:val="28"/>
        </w:rPr>
        <w:t>,</w:t>
      </w:r>
      <w:r>
        <w:rPr>
          <w:rFonts w:ascii="仿宋_GB2312" w:eastAsia="仿宋_GB2312" w:hint="eastAsia"/>
          <w:sz w:val="28"/>
          <w:szCs w:val="28"/>
        </w:rPr>
        <w:t>消除作业过程中的习惯性违章，保障安全生产工作。</w:t>
      </w:r>
    </w:p>
    <w:p w:rsidR="005C6ECD" w:rsidRDefault="001D0C5E">
      <w:pPr>
        <w:pStyle w:val="af0"/>
        <w:spacing w:line="440" w:lineRule="exact"/>
        <w:ind w:firstLine="560"/>
        <w:rPr>
          <w:rFonts w:ascii="仿宋_GB2312" w:eastAsia="仿宋_GB2312"/>
          <w:sz w:val="28"/>
          <w:szCs w:val="28"/>
        </w:rPr>
      </w:pPr>
      <w:r>
        <w:rPr>
          <w:rFonts w:ascii="仿宋_GB2312" w:eastAsia="仿宋_GB2312" w:hint="eastAsia"/>
          <w:sz w:val="28"/>
          <w:szCs w:val="28"/>
        </w:rPr>
        <w:lastRenderedPageBreak/>
        <w:t>（三）工作过程</w:t>
      </w:r>
    </w:p>
    <w:p w:rsidR="005C6ECD" w:rsidRDefault="001D0C5E">
      <w:pPr>
        <w:pStyle w:val="af0"/>
        <w:spacing w:line="440" w:lineRule="exact"/>
        <w:ind w:firstLine="560"/>
        <w:rPr>
          <w:rFonts w:ascii="仿宋_GB2312" w:eastAsia="仿宋_GB2312"/>
          <w:sz w:val="28"/>
          <w:szCs w:val="28"/>
        </w:rPr>
      </w:pPr>
      <w:r>
        <w:rPr>
          <w:rFonts w:ascii="仿宋_GB2312" w:eastAsia="仿宋_GB2312" w:hint="eastAsia"/>
          <w:sz w:val="28"/>
          <w:szCs w:val="28"/>
        </w:rPr>
        <w:t>《燃油（气）锅炉司炉操作规程》项目起草工作组首先成立了标准编制小组，确定小组成员，并对各成员进行了具体分工，分别开展了相关资料的收集分析和深入的调研工作，在调研了省内各地区具有代表性的</w:t>
      </w:r>
      <w:r>
        <w:rPr>
          <w:rFonts w:ascii="仿宋_GB2312" w:eastAsia="仿宋_GB2312" w:hint="eastAsia"/>
          <w:sz w:val="28"/>
          <w:szCs w:val="28"/>
        </w:rPr>
        <w:t>燃油（气）锅炉使用单位基础上制订了编写计划。在总结各锅炉实际运行管理和实践经验的基础上，参照了同行编写的有关标准，草拟出《燃油（气）锅炉司炉操作规程》的初稿。工作小组多次组织人员对初稿进行讨论，广泛征求省内专家们的各种意见，</w:t>
      </w:r>
      <w:r w:rsidRPr="001D0C5E">
        <w:rPr>
          <w:rFonts w:ascii="仿宋_GB2312" w:eastAsia="仿宋_GB2312" w:hint="eastAsia"/>
          <w:sz w:val="28"/>
          <w:szCs w:val="28"/>
        </w:rPr>
        <w:t>共收到意见和建议8</w:t>
      </w:r>
      <w:r w:rsidRPr="001D0C5E">
        <w:rPr>
          <w:rFonts w:ascii="仿宋_GB2312" w:eastAsia="仿宋_GB2312" w:hint="eastAsia"/>
          <w:sz w:val="28"/>
          <w:szCs w:val="28"/>
        </w:rPr>
        <w:t>条。起草工作组在对征求得来的全部意见或建议进行了认真汇总和分析研究的基础上，采纳专家们的修改意见8</w:t>
      </w:r>
      <w:r w:rsidRPr="001D0C5E">
        <w:rPr>
          <w:rFonts w:ascii="仿宋_GB2312" w:eastAsia="仿宋_GB2312" w:hint="eastAsia"/>
          <w:sz w:val="28"/>
          <w:szCs w:val="28"/>
        </w:rPr>
        <w:t>条，未采纳</w:t>
      </w:r>
      <w:r w:rsidRPr="001D0C5E">
        <w:rPr>
          <w:rFonts w:ascii="仿宋_GB2312" w:eastAsia="仿宋_GB2312" w:hint="eastAsia"/>
          <w:sz w:val="28"/>
          <w:szCs w:val="28"/>
        </w:rPr>
        <w:t>0</w:t>
      </w:r>
      <w:r w:rsidRPr="001D0C5E">
        <w:rPr>
          <w:rFonts w:ascii="仿宋_GB2312" w:eastAsia="仿宋_GB2312" w:hint="eastAsia"/>
          <w:sz w:val="28"/>
          <w:szCs w:val="28"/>
        </w:rPr>
        <w:t>条，</w:t>
      </w:r>
      <w:r>
        <w:rPr>
          <w:rFonts w:ascii="仿宋_GB2312" w:eastAsia="仿宋_GB2312" w:hint="eastAsia"/>
          <w:sz w:val="28"/>
          <w:szCs w:val="28"/>
        </w:rPr>
        <w:t>完成了现在的标准草案送审稿及其附件的编制工作。</w:t>
      </w:r>
    </w:p>
    <w:p w:rsidR="005C6ECD" w:rsidRDefault="001D0C5E">
      <w:pPr>
        <w:pStyle w:val="af0"/>
        <w:spacing w:line="440" w:lineRule="exact"/>
        <w:ind w:firstLine="562"/>
        <w:rPr>
          <w:rFonts w:ascii="仿宋_GB2312" w:eastAsia="仿宋_GB2312"/>
          <w:b/>
          <w:sz w:val="28"/>
          <w:szCs w:val="28"/>
        </w:rPr>
      </w:pPr>
      <w:r>
        <w:rPr>
          <w:rFonts w:ascii="仿宋_GB2312" w:eastAsia="仿宋_GB2312" w:hint="eastAsia"/>
          <w:b/>
          <w:sz w:val="28"/>
          <w:szCs w:val="28"/>
        </w:rPr>
        <w:t>二、编制原则、主要内容及确定依据</w:t>
      </w:r>
    </w:p>
    <w:p w:rsidR="005C6ECD" w:rsidRDefault="001D0C5E">
      <w:pPr>
        <w:pStyle w:val="af0"/>
        <w:spacing w:line="440" w:lineRule="exact"/>
        <w:ind w:firstLine="560"/>
        <w:rPr>
          <w:rFonts w:ascii="仿宋_GB2312" w:eastAsia="仿宋_GB2312"/>
          <w:sz w:val="28"/>
          <w:szCs w:val="28"/>
        </w:rPr>
      </w:pPr>
      <w:r>
        <w:rPr>
          <w:rFonts w:ascii="仿宋_GB2312" w:eastAsia="仿宋_GB2312" w:hint="eastAsia"/>
          <w:sz w:val="28"/>
          <w:szCs w:val="28"/>
        </w:rPr>
        <w:t>（一）</w:t>
      </w:r>
      <w:r>
        <w:rPr>
          <w:rFonts w:ascii="仿宋_GB2312" w:eastAsia="仿宋_GB2312" w:hint="eastAsia"/>
          <w:sz w:val="28"/>
          <w:szCs w:val="28"/>
        </w:rPr>
        <w:t xml:space="preserve"> </w:t>
      </w:r>
      <w:r>
        <w:rPr>
          <w:rFonts w:ascii="仿宋_GB2312" w:eastAsia="仿宋_GB2312" w:hint="eastAsia"/>
          <w:sz w:val="28"/>
          <w:szCs w:val="28"/>
        </w:rPr>
        <w:t>编写原则</w:t>
      </w:r>
    </w:p>
    <w:p w:rsidR="005C6ECD" w:rsidRDefault="001D0C5E">
      <w:pPr>
        <w:pStyle w:val="af0"/>
        <w:spacing w:line="440" w:lineRule="exact"/>
        <w:ind w:firstLine="560"/>
        <w:rPr>
          <w:rFonts w:ascii="仿宋_GB2312" w:eastAsia="仿宋_GB2312"/>
          <w:sz w:val="28"/>
          <w:szCs w:val="28"/>
        </w:rPr>
      </w:pPr>
      <w:r>
        <w:rPr>
          <w:rFonts w:ascii="仿宋_GB2312" w:eastAsia="仿宋_GB2312" w:hint="eastAsia"/>
          <w:sz w:val="28"/>
          <w:szCs w:val="28"/>
        </w:rPr>
        <w:t>本标准按照</w:t>
      </w:r>
      <w:r>
        <w:rPr>
          <w:rFonts w:ascii="仿宋_GB2312" w:eastAsia="仿宋_GB2312" w:hint="eastAsia"/>
          <w:sz w:val="28"/>
          <w:szCs w:val="28"/>
        </w:rPr>
        <w:t>GB/T 1.1</w:t>
      </w:r>
      <w:r>
        <w:rPr>
          <w:rFonts w:ascii="仿宋_GB2312" w:eastAsia="仿宋_GB2312" w:hint="eastAsia"/>
          <w:sz w:val="28"/>
          <w:szCs w:val="28"/>
        </w:rPr>
        <w:t>—</w:t>
      </w:r>
      <w:r>
        <w:rPr>
          <w:rFonts w:ascii="仿宋_GB2312" w:eastAsia="仿宋_GB2312" w:hint="eastAsia"/>
          <w:sz w:val="28"/>
          <w:szCs w:val="28"/>
        </w:rPr>
        <w:t>2020</w:t>
      </w:r>
      <w:r>
        <w:rPr>
          <w:rFonts w:ascii="仿宋_GB2312" w:eastAsia="仿宋_GB2312" w:hint="eastAsia"/>
          <w:sz w:val="28"/>
          <w:szCs w:val="28"/>
        </w:rPr>
        <w:t>《标准化工作导则</w:t>
      </w:r>
      <w:r>
        <w:rPr>
          <w:rFonts w:ascii="仿宋_GB2312" w:eastAsia="仿宋_GB2312" w:hint="eastAsia"/>
          <w:sz w:val="28"/>
          <w:szCs w:val="28"/>
        </w:rPr>
        <w:t xml:space="preserve">  </w:t>
      </w:r>
      <w:r>
        <w:rPr>
          <w:rFonts w:ascii="仿宋_GB2312" w:eastAsia="仿宋_GB2312" w:hint="eastAsia"/>
          <w:sz w:val="28"/>
          <w:szCs w:val="28"/>
        </w:rPr>
        <w:t>第</w:t>
      </w:r>
      <w:r>
        <w:rPr>
          <w:rFonts w:ascii="仿宋_GB2312" w:eastAsia="仿宋_GB2312" w:hint="eastAsia"/>
          <w:sz w:val="28"/>
          <w:szCs w:val="28"/>
        </w:rPr>
        <w:t>1</w:t>
      </w:r>
      <w:r>
        <w:rPr>
          <w:rFonts w:ascii="仿宋_GB2312" w:eastAsia="仿宋_GB2312" w:hint="eastAsia"/>
          <w:sz w:val="28"/>
          <w:szCs w:val="28"/>
        </w:rPr>
        <w:t>部分：标准化文件的结构和起草规则》的规定起草。其编制遵循“先进性、实用性、统一性、规范性”的原则，尽可能与国际通行标准接轨，注重标准的可操作性。</w:t>
      </w:r>
    </w:p>
    <w:p w:rsidR="005C6ECD" w:rsidRDefault="001D0C5E">
      <w:pPr>
        <w:pStyle w:val="af0"/>
        <w:spacing w:line="440" w:lineRule="exact"/>
        <w:ind w:firstLine="560"/>
        <w:rPr>
          <w:rFonts w:ascii="仿宋_GB2312" w:eastAsia="仿宋_GB2312"/>
          <w:sz w:val="28"/>
          <w:szCs w:val="28"/>
        </w:rPr>
      </w:pPr>
      <w:r>
        <w:rPr>
          <w:rFonts w:ascii="仿宋_GB2312" w:eastAsia="仿宋_GB2312" w:hint="eastAsia"/>
          <w:sz w:val="28"/>
          <w:szCs w:val="28"/>
        </w:rPr>
        <w:t>（二）主要内容</w:t>
      </w:r>
    </w:p>
    <w:p w:rsidR="005C6ECD" w:rsidRDefault="001D0C5E">
      <w:pPr>
        <w:pStyle w:val="af0"/>
        <w:spacing w:line="440" w:lineRule="exact"/>
        <w:ind w:firstLine="560"/>
        <w:rPr>
          <w:rFonts w:ascii="仿宋_GB2312" w:eastAsia="仿宋_GB2312"/>
          <w:sz w:val="28"/>
          <w:szCs w:val="28"/>
        </w:rPr>
      </w:pPr>
      <w:r>
        <w:rPr>
          <w:rFonts w:ascii="仿宋_GB2312" w:eastAsia="仿宋_GB2312" w:hint="eastAsia"/>
          <w:sz w:val="28"/>
          <w:szCs w:val="28"/>
        </w:rPr>
        <w:t>本文件规定了燃油（气）锅炉作业人员基本要求，锅炉作业程序及要求，锅炉常见故障处理应急处理等内容。适用于指导燃油（气）锅炉司炉人员基本操作，同时给出燃油（气）锅炉使用单位编制本单位的操作规程基本要求。主要内容如下：</w:t>
      </w:r>
    </w:p>
    <w:p w:rsidR="005C6ECD" w:rsidRDefault="001D0C5E">
      <w:pPr>
        <w:pStyle w:val="af0"/>
        <w:spacing w:line="440" w:lineRule="exact"/>
        <w:ind w:firstLine="560"/>
        <w:rPr>
          <w:rFonts w:ascii="仿宋_GB2312" w:eastAsia="仿宋_GB2312"/>
          <w:sz w:val="28"/>
          <w:szCs w:val="28"/>
        </w:rPr>
      </w:pPr>
      <w:r>
        <w:rPr>
          <w:rFonts w:ascii="仿宋_GB2312" w:eastAsia="仿宋_GB2312" w:hint="eastAsia"/>
          <w:sz w:val="28"/>
          <w:szCs w:val="28"/>
        </w:rPr>
        <w:t>1.</w:t>
      </w:r>
      <w:r>
        <w:rPr>
          <w:rFonts w:ascii="仿宋_GB2312" w:eastAsia="仿宋_GB2312" w:hint="eastAsia"/>
          <w:sz w:val="28"/>
          <w:szCs w:val="28"/>
        </w:rPr>
        <w:t>标准中“</w:t>
      </w:r>
      <w:r>
        <w:rPr>
          <w:rFonts w:ascii="仿宋_GB2312" w:eastAsia="仿宋_GB2312" w:hint="eastAsia"/>
          <w:sz w:val="28"/>
          <w:szCs w:val="28"/>
        </w:rPr>
        <w:t>4</w:t>
      </w:r>
      <w:r>
        <w:rPr>
          <w:rFonts w:ascii="仿宋_GB2312" w:eastAsia="仿宋_GB2312" w:hint="eastAsia"/>
          <w:sz w:val="28"/>
          <w:szCs w:val="28"/>
        </w:rPr>
        <w:t xml:space="preserve">　基本要求”，明确了燃油（气）锅炉司炉人员资格和使用单位要求。</w:t>
      </w:r>
    </w:p>
    <w:p w:rsidR="005C6ECD" w:rsidRDefault="001D0C5E">
      <w:pPr>
        <w:pStyle w:val="af0"/>
        <w:spacing w:line="440" w:lineRule="exact"/>
        <w:ind w:firstLine="560"/>
        <w:rPr>
          <w:rFonts w:ascii="仿宋_GB2312" w:eastAsia="仿宋_GB2312"/>
          <w:sz w:val="28"/>
          <w:szCs w:val="28"/>
        </w:rPr>
      </w:pPr>
      <w:r>
        <w:rPr>
          <w:rFonts w:ascii="仿宋_GB2312" w:eastAsia="仿宋_GB2312" w:hint="eastAsia"/>
          <w:sz w:val="28"/>
          <w:szCs w:val="28"/>
        </w:rPr>
        <w:t>2.</w:t>
      </w:r>
      <w:r>
        <w:rPr>
          <w:rFonts w:ascii="仿宋_GB2312" w:eastAsia="仿宋_GB2312" w:hint="eastAsia"/>
          <w:sz w:val="28"/>
          <w:szCs w:val="28"/>
        </w:rPr>
        <w:t>标准中“</w:t>
      </w:r>
      <w:r>
        <w:rPr>
          <w:rFonts w:ascii="仿宋_GB2312" w:eastAsia="仿宋_GB2312" w:hint="eastAsia"/>
          <w:sz w:val="28"/>
          <w:szCs w:val="28"/>
        </w:rPr>
        <w:t>5</w:t>
      </w:r>
      <w:r>
        <w:rPr>
          <w:rFonts w:ascii="仿宋_GB2312" w:eastAsia="仿宋_GB2312" w:hint="eastAsia"/>
          <w:sz w:val="28"/>
          <w:szCs w:val="28"/>
        </w:rPr>
        <w:t xml:space="preserve">　运行前准备”，明确了锅炉运行前的检查、验收和试验、机组启动、运行调整和停炉的基本工作程序及要求</w:t>
      </w:r>
      <w:r>
        <w:rPr>
          <w:rFonts w:ascii="仿宋_GB2312" w:eastAsia="仿宋_GB2312" w:hint="eastAsia"/>
          <w:sz w:val="28"/>
          <w:szCs w:val="28"/>
        </w:rPr>
        <w:t>。</w:t>
      </w:r>
    </w:p>
    <w:p w:rsidR="005C6ECD" w:rsidRDefault="001D0C5E">
      <w:pPr>
        <w:pStyle w:val="af0"/>
        <w:spacing w:line="440" w:lineRule="exact"/>
        <w:ind w:firstLine="560"/>
        <w:rPr>
          <w:rFonts w:ascii="仿宋_GB2312" w:eastAsia="仿宋_GB2312"/>
          <w:sz w:val="28"/>
          <w:szCs w:val="28"/>
        </w:rPr>
      </w:pPr>
      <w:r>
        <w:rPr>
          <w:rFonts w:ascii="仿宋_GB2312" w:eastAsia="仿宋_GB2312" w:hint="eastAsia"/>
          <w:sz w:val="28"/>
          <w:szCs w:val="28"/>
        </w:rPr>
        <w:t>3.</w:t>
      </w:r>
      <w:r>
        <w:rPr>
          <w:rFonts w:ascii="仿宋_GB2312" w:eastAsia="仿宋_GB2312" w:hint="eastAsia"/>
          <w:sz w:val="28"/>
          <w:szCs w:val="28"/>
        </w:rPr>
        <w:t>标准中“</w:t>
      </w:r>
      <w:r>
        <w:rPr>
          <w:rFonts w:ascii="仿宋_GB2312" w:eastAsia="仿宋_GB2312" w:hint="eastAsia"/>
          <w:sz w:val="28"/>
          <w:szCs w:val="28"/>
        </w:rPr>
        <w:t>6</w:t>
      </w:r>
      <w:r>
        <w:rPr>
          <w:rFonts w:ascii="仿宋_GB2312" w:eastAsia="仿宋_GB2312" w:hint="eastAsia"/>
          <w:sz w:val="28"/>
          <w:szCs w:val="28"/>
        </w:rPr>
        <w:t xml:space="preserve">　锅炉启动”，明确了锅炉点火、升压、检查的工作程序及要求。</w:t>
      </w:r>
    </w:p>
    <w:p w:rsidR="005C6ECD" w:rsidRDefault="001D0C5E">
      <w:pPr>
        <w:pStyle w:val="af0"/>
        <w:spacing w:line="440" w:lineRule="exact"/>
        <w:ind w:firstLine="560"/>
        <w:rPr>
          <w:rFonts w:ascii="仿宋_GB2312" w:eastAsia="仿宋_GB2312"/>
          <w:sz w:val="28"/>
          <w:szCs w:val="28"/>
        </w:rPr>
      </w:pPr>
      <w:r>
        <w:rPr>
          <w:rFonts w:ascii="仿宋_GB2312" w:eastAsia="仿宋_GB2312" w:hint="eastAsia"/>
          <w:sz w:val="28"/>
          <w:szCs w:val="28"/>
        </w:rPr>
        <w:t>4</w:t>
      </w:r>
      <w:r>
        <w:rPr>
          <w:rFonts w:ascii="仿宋_GB2312" w:eastAsia="仿宋_GB2312" w:hint="eastAsia"/>
          <w:sz w:val="28"/>
          <w:szCs w:val="28"/>
        </w:rPr>
        <w:t>、标准中“</w:t>
      </w:r>
      <w:r>
        <w:rPr>
          <w:rFonts w:ascii="仿宋_GB2312" w:eastAsia="仿宋_GB2312" w:hint="eastAsia"/>
          <w:sz w:val="28"/>
          <w:szCs w:val="28"/>
        </w:rPr>
        <w:t>7</w:t>
      </w:r>
      <w:r>
        <w:rPr>
          <w:rFonts w:ascii="仿宋_GB2312" w:eastAsia="仿宋_GB2312" w:hint="eastAsia"/>
          <w:sz w:val="28"/>
          <w:szCs w:val="28"/>
        </w:rPr>
        <w:t xml:space="preserve">　运行与调节”明确了安全附件、锅炉排污、自动控制与</w:t>
      </w:r>
      <w:proofErr w:type="gramStart"/>
      <w:r>
        <w:rPr>
          <w:rFonts w:ascii="仿宋_GB2312" w:eastAsia="仿宋_GB2312" w:hint="eastAsia"/>
          <w:sz w:val="28"/>
          <w:szCs w:val="28"/>
        </w:rPr>
        <w:t>联锁</w:t>
      </w:r>
      <w:proofErr w:type="gramEnd"/>
      <w:r>
        <w:rPr>
          <w:rFonts w:ascii="仿宋_GB2312" w:eastAsia="仿宋_GB2312" w:hint="eastAsia"/>
          <w:sz w:val="28"/>
          <w:szCs w:val="28"/>
        </w:rPr>
        <w:t>保护的要求</w:t>
      </w:r>
      <w:r>
        <w:rPr>
          <w:rFonts w:ascii="仿宋_GB2312" w:eastAsia="仿宋_GB2312" w:hint="eastAsia"/>
          <w:sz w:val="28"/>
          <w:szCs w:val="28"/>
        </w:rPr>
        <w:t>。</w:t>
      </w:r>
    </w:p>
    <w:p w:rsidR="005C6ECD" w:rsidRDefault="001D0C5E">
      <w:pPr>
        <w:pStyle w:val="af0"/>
        <w:spacing w:line="440" w:lineRule="exact"/>
        <w:ind w:firstLine="560"/>
        <w:rPr>
          <w:rFonts w:ascii="仿宋_GB2312" w:eastAsia="仿宋_GB2312"/>
          <w:sz w:val="28"/>
          <w:szCs w:val="28"/>
        </w:rPr>
      </w:pPr>
      <w:r>
        <w:rPr>
          <w:rFonts w:ascii="仿宋_GB2312" w:eastAsia="仿宋_GB2312" w:hint="eastAsia"/>
          <w:sz w:val="28"/>
          <w:szCs w:val="28"/>
        </w:rPr>
        <w:lastRenderedPageBreak/>
        <w:t>5</w:t>
      </w:r>
      <w:r>
        <w:rPr>
          <w:rFonts w:ascii="仿宋_GB2312" w:eastAsia="仿宋_GB2312" w:hint="eastAsia"/>
          <w:sz w:val="28"/>
          <w:szCs w:val="28"/>
        </w:rPr>
        <w:t>、标准中“</w:t>
      </w:r>
      <w:r>
        <w:rPr>
          <w:rFonts w:ascii="仿宋_GB2312" w:eastAsia="仿宋_GB2312" w:hint="eastAsia"/>
          <w:sz w:val="28"/>
          <w:szCs w:val="28"/>
        </w:rPr>
        <w:t>8</w:t>
      </w:r>
      <w:r>
        <w:rPr>
          <w:rFonts w:ascii="仿宋_GB2312" w:eastAsia="仿宋_GB2312" w:hint="eastAsia"/>
          <w:sz w:val="28"/>
          <w:szCs w:val="28"/>
        </w:rPr>
        <w:t xml:space="preserve">　常见故障处理”，给出了</w:t>
      </w:r>
      <w:r>
        <w:rPr>
          <w:rFonts w:ascii="仿宋_GB2312" w:eastAsia="仿宋_GB2312" w:hint="eastAsia"/>
          <w:sz w:val="28"/>
          <w:szCs w:val="28"/>
        </w:rPr>
        <w:t>燃油（气）</w:t>
      </w:r>
      <w:r>
        <w:rPr>
          <w:rFonts w:ascii="仿宋_GB2312" w:eastAsia="仿宋_GB2312" w:hint="eastAsia"/>
          <w:sz w:val="28"/>
          <w:szCs w:val="28"/>
        </w:rPr>
        <w:t>锅炉常见故障的处理基本原则及故障应急处理的基本要求。</w:t>
      </w:r>
    </w:p>
    <w:p w:rsidR="005C6ECD" w:rsidRDefault="001D0C5E">
      <w:pPr>
        <w:pStyle w:val="af0"/>
        <w:spacing w:line="440" w:lineRule="exact"/>
        <w:ind w:firstLine="560"/>
        <w:rPr>
          <w:rFonts w:ascii="仿宋_GB2312" w:eastAsia="仿宋_GB2312"/>
          <w:sz w:val="28"/>
          <w:szCs w:val="28"/>
        </w:rPr>
      </w:pPr>
      <w:r>
        <w:rPr>
          <w:rFonts w:ascii="仿宋_GB2312" w:eastAsia="仿宋_GB2312" w:hint="eastAsia"/>
          <w:sz w:val="28"/>
          <w:szCs w:val="28"/>
        </w:rPr>
        <w:t>6</w:t>
      </w:r>
      <w:r>
        <w:rPr>
          <w:rFonts w:ascii="仿宋_GB2312" w:eastAsia="仿宋_GB2312" w:hint="eastAsia"/>
          <w:sz w:val="28"/>
          <w:szCs w:val="28"/>
        </w:rPr>
        <w:t>、标准中“</w:t>
      </w:r>
      <w:r>
        <w:rPr>
          <w:rFonts w:ascii="仿宋_GB2312" w:eastAsia="仿宋_GB2312" w:hint="eastAsia"/>
          <w:sz w:val="28"/>
          <w:szCs w:val="28"/>
        </w:rPr>
        <w:t>9</w:t>
      </w:r>
      <w:r>
        <w:rPr>
          <w:rFonts w:ascii="仿宋_GB2312" w:eastAsia="仿宋_GB2312" w:hint="eastAsia"/>
          <w:sz w:val="28"/>
          <w:szCs w:val="28"/>
        </w:rPr>
        <w:t xml:space="preserve">　停止运行”，给出了</w:t>
      </w:r>
      <w:r>
        <w:rPr>
          <w:rFonts w:ascii="仿宋_GB2312" w:eastAsia="仿宋_GB2312" w:hint="eastAsia"/>
          <w:sz w:val="28"/>
          <w:szCs w:val="28"/>
        </w:rPr>
        <w:t>燃油（气）</w:t>
      </w:r>
      <w:r>
        <w:rPr>
          <w:rFonts w:ascii="仿宋_GB2312" w:eastAsia="仿宋_GB2312" w:hint="eastAsia"/>
          <w:sz w:val="28"/>
          <w:szCs w:val="28"/>
        </w:rPr>
        <w:t>锅炉正常停炉与紧急停炉处理基本原则与基本要求。</w:t>
      </w:r>
    </w:p>
    <w:p w:rsidR="005C6ECD" w:rsidRDefault="001D0C5E">
      <w:pPr>
        <w:pStyle w:val="af0"/>
        <w:spacing w:line="440" w:lineRule="exact"/>
        <w:ind w:firstLine="560"/>
        <w:rPr>
          <w:rFonts w:ascii="仿宋_GB2312" w:eastAsia="仿宋_GB2312"/>
          <w:sz w:val="28"/>
          <w:szCs w:val="28"/>
        </w:rPr>
      </w:pPr>
      <w:r>
        <w:rPr>
          <w:rFonts w:ascii="仿宋_GB2312" w:eastAsia="仿宋_GB2312" w:hint="eastAsia"/>
          <w:sz w:val="28"/>
          <w:szCs w:val="28"/>
        </w:rPr>
        <w:t>7</w:t>
      </w:r>
      <w:r>
        <w:rPr>
          <w:rFonts w:ascii="仿宋_GB2312" w:eastAsia="仿宋_GB2312" w:hint="eastAsia"/>
          <w:sz w:val="28"/>
          <w:szCs w:val="28"/>
        </w:rPr>
        <w:t>、标准中“</w:t>
      </w:r>
      <w:r>
        <w:rPr>
          <w:rFonts w:ascii="仿宋_GB2312" w:eastAsia="仿宋_GB2312" w:hint="eastAsia"/>
          <w:sz w:val="28"/>
          <w:szCs w:val="28"/>
        </w:rPr>
        <w:t>9</w:t>
      </w:r>
      <w:r>
        <w:rPr>
          <w:rFonts w:ascii="仿宋_GB2312" w:eastAsia="仿宋_GB2312" w:hint="eastAsia"/>
          <w:sz w:val="28"/>
          <w:szCs w:val="28"/>
        </w:rPr>
        <w:t xml:space="preserve">　停炉保养”，给出了</w:t>
      </w:r>
      <w:r>
        <w:rPr>
          <w:rFonts w:ascii="仿宋_GB2312" w:eastAsia="仿宋_GB2312" w:hint="eastAsia"/>
          <w:sz w:val="28"/>
          <w:szCs w:val="28"/>
        </w:rPr>
        <w:t>燃油（气）</w:t>
      </w:r>
      <w:r>
        <w:rPr>
          <w:rFonts w:ascii="仿宋_GB2312" w:eastAsia="仿宋_GB2312" w:hint="eastAsia"/>
          <w:sz w:val="28"/>
          <w:szCs w:val="28"/>
        </w:rPr>
        <w:t>锅炉</w:t>
      </w:r>
      <w:r>
        <w:rPr>
          <w:rFonts w:ascii="仿宋_GB2312" w:eastAsia="仿宋_GB2312" w:hint="eastAsia"/>
          <w:sz w:val="28"/>
          <w:szCs w:val="28"/>
        </w:rPr>
        <w:t>正停炉保养的基本原则与基本要求。</w:t>
      </w:r>
    </w:p>
    <w:p w:rsidR="005C6ECD" w:rsidRDefault="001D0C5E">
      <w:pPr>
        <w:pStyle w:val="af0"/>
        <w:spacing w:line="440" w:lineRule="exact"/>
        <w:ind w:firstLine="560"/>
        <w:rPr>
          <w:rFonts w:ascii="仿宋_GB2312" w:eastAsia="仿宋_GB2312"/>
          <w:sz w:val="28"/>
          <w:szCs w:val="28"/>
        </w:rPr>
      </w:pPr>
      <w:r>
        <w:rPr>
          <w:rFonts w:ascii="仿宋_GB2312" w:eastAsia="仿宋_GB2312" w:hint="eastAsia"/>
          <w:sz w:val="28"/>
          <w:szCs w:val="28"/>
        </w:rPr>
        <w:t>（三）主要内容的确定依据</w:t>
      </w:r>
    </w:p>
    <w:p w:rsidR="005C6ECD" w:rsidRDefault="001D0C5E">
      <w:pPr>
        <w:pStyle w:val="af0"/>
        <w:spacing w:line="440" w:lineRule="exact"/>
        <w:ind w:firstLine="560"/>
        <w:rPr>
          <w:rFonts w:ascii="仿宋_GB2312" w:eastAsia="仿宋_GB2312"/>
          <w:sz w:val="28"/>
          <w:szCs w:val="28"/>
        </w:rPr>
      </w:pPr>
      <w:r>
        <w:rPr>
          <w:rFonts w:ascii="仿宋_GB2312" w:eastAsia="仿宋_GB2312" w:hint="eastAsia"/>
          <w:sz w:val="28"/>
          <w:szCs w:val="28"/>
        </w:rPr>
        <w:t>本标准主要内容，来源于国家市场总局特种设备安全监察部门关于</w:t>
      </w:r>
      <w:r>
        <w:rPr>
          <w:rFonts w:ascii="仿宋_GB2312" w:eastAsia="仿宋_GB2312" w:hint="eastAsia"/>
          <w:sz w:val="28"/>
          <w:szCs w:val="28"/>
        </w:rPr>
        <w:t>燃油（气）锅炉</w:t>
      </w:r>
      <w:r>
        <w:rPr>
          <w:rFonts w:ascii="仿宋_GB2312" w:eastAsia="仿宋_GB2312" w:hint="eastAsia"/>
          <w:sz w:val="28"/>
          <w:szCs w:val="28"/>
        </w:rPr>
        <w:t>使用、作业人员资格与管理等法规要求。参考</w:t>
      </w:r>
      <w:r>
        <w:rPr>
          <w:rFonts w:ascii="仿宋_GB2312" w:eastAsia="仿宋_GB2312" w:hint="eastAsia"/>
          <w:sz w:val="28"/>
          <w:szCs w:val="28"/>
        </w:rPr>
        <w:t>其它省份</w:t>
      </w:r>
      <w:r>
        <w:rPr>
          <w:rFonts w:ascii="仿宋_GB2312" w:eastAsia="仿宋_GB2312" w:hint="eastAsia"/>
          <w:sz w:val="28"/>
          <w:szCs w:val="28"/>
        </w:rPr>
        <w:t>关于</w:t>
      </w:r>
      <w:r>
        <w:rPr>
          <w:rFonts w:ascii="仿宋_GB2312" w:eastAsia="仿宋_GB2312" w:hint="eastAsia"/>
          <w:sz w:val="28"/>
          <w:szCs w:val="28"/>
        </w:rPr>
        <w:t>燃油（气）锅炉</w:t>
      </w:r>
      <w:r>
        <w:rPr>
          <w:rFonts w:ascii="仿宋_GB2312" w:eastAsia="仿宋_GB2312" w:hint="eastAsia"/>
          <w:sz w:val="28"/>
          <w:szCs w:val="28"/>
        </w:rPr>
        <w:t>启动、运行管理的相关规范，以省内各地区</w:t>
      </w:r>
      <w:r>
        <w:rPr>
          <w:rFonts w:ascii="仿宋_GB2312" w:eastAsia="仿宋_GB2312" w:hint="eastAsia"/>
          <w:sz w:val="28"/>
          <w:szCs w:val="28"/>
        </w:rPr>
        <w:t>燃油（气）锅炉</w:t>
      </w:r>
      <w:r>
        <w:rPr>
          <w:rFonts w:ascii="仿宋_GB2312" w:eastAsia="仿宋_GB2312" w:hint="eastAsia"/>
          <w:sz w:val="28"/>
          <w:szCs w:val="28"/>
        </w:rPr>
        <w:t>运行管理规程为基础，编制了具有指导性的操作规程。</w:t>
      </w:r>
    </w:p>
    <w:p w:rsidR="005C6ECD" w:rsidRDefault="001D0C5E">
      <w:pPr>
        <w:pStyle w:val="af0"/>
        <w:spacing w:line="440" w:lineRule="exact"/>
        <w:ind w:firstLine="562"/>
        <w:rPr>
          <w:rFonts w:ascii="仿宋_GB2312" w:eastAsia="仿宋_GB2312"/>
          <w:b/>
          <w:sz w:val="28"/>
          <w:szCs w:val="28"/>
        </w:rPr>
      </w:pPr>
      <w:r>
        <w:rPr>
          <w:rFonts w:ascii="仿宋_GB2312" w:eastAsia="仿宋_GB2312" w:hint="eastAsia"/>
          <w:b/>
          <w:sz w:val="28"/>
          <w:szCs w:val="28"/>
        </w:rPr>
        <w:t>三、技术经济论证，预期的经济效果</w:t>
      </w:r>
    </w:p>
    <w:p w:rsidR="005C6ECD" w:rsidRDefault="001D0C5E">
      <w:pPr>
        <w:pStyle w:val="af0"/>
        <w:spacing w:line="440" w:lineRule="exact"/>
        <w:ind w:firstLine="560"/>
        <w:rPr>
          <w:rFonts w:ascii="仿宋_GB2312" w:eastAsia="仿宋_GB2312"/>
          <w:sz w:val="28"/>
          <w:szCs w:val="28"/>
        </w:rPr>
      </w:pPr>
      <w:r>
        <w:rPr>
          <w:rFonts w:ascii="仿宋_GB2312" w:eastAsia="仿宋_GB2312" w:hint="eastAsia"/>
          <w:sz w:val="28"/>
          <w:szCs w:val="28"/>
        </w:rPr>
        <w:t>未进行技术经济论证，无预期的经济效果。</w:t>
      </w:r>
    </w:p>
    <w:p w:rsidR="005C6ECD" w:rsidRDefault="001D0C5E">
      <w:pPr>
        <w:pStyle w:val="af0"/>
        <w:spacing w:line="440" w:lineRule="exact"/>
        <w:ind w:firstLine="562"/>
        <w:rPr>
          <w:rFonts w:ascii="仿宋_GB2312" w:eastAsia="仿宋_GB2312"/>
          <w:b/>
          <w:sz w:val="28"/>
          <w:szCs w:val="28"/>
        </w:rPr>
      </w:pPr>
      <w:r>
        <w:rPr>
          <w:rFonts w:ascii="仿宋_GB2312" w:eastAsia="仿宋_GB2312" w:hint="eastAsia"/>
          <w:b/>
          <w:sz w:val="28"/>
          <w:szCs w:val="28"/>
        </w:rPr>
        <w:t>四、采用国际标准和国外先进标准情况，以及与国内外同类标准水平的对比情况</w:t>
      </w:r>
    </w:p>
    <w:p w:rsidR="005C6ECD" w:rsidRDefault="001D0C5E">
      <w:pPr>
        <w:pStyle w:val="af0"/>
        <w:spacing w:line="440" w:lineRule="exact"/>
        <w:ind w:firstLine="560"/>
        <w:rPr>
          <w:rFonts w:ascii="仿宋_GB2312" w:eastAsia="仿宋_GB2312"/>
          <w:sz w:val="28"/>
          <w:szCs w:val="28"/>
        </w:rPr>
      </w:pPr>
      <w:r>
        <w:rPr>
          <w:rFonts w:ascii="仿宋_GB2312" w:eastAsia="仿宋_GB2312" w:hint="eastAsia"/>
          <w:sz w:val="28"/>
          <w:szCs w:val="28"/>
        </w:rPr>
        <w:t>没有采用国际标准和国外先进标准。</w:t>
      </w:r>
    </w:p>
    <w:p w:rsidR="005C6ECD" w:rsidRDefault="001D0C5E">
      <w:pPr>
        <w:pStyle w:val="af0"/>
        <w:spacing w:line="440" w:lineRule="exact"/>
        <w:ind w:firstLine="562"/>
        <w:rPr>
          <w:rFonts w:ascii="仿宋_GB2312" w:eastAsia="仿宋_GB2312"/>
          <w:b/>
          <w:sz w:val="28"/>
          <w:szCs w:val="28"/>
        </w:rPr>
      </w:pPr>
      <w:r>
        <w:rPr>
          <w:rFonts w:ascii="仿宋_GB2312" w:eastAsia="仿宋_GB2312" w:hint="eastAsia"/>
          <w:b/>
          <w:sz w:val="28"/>
          <w:szCs w:val="28"/>
        </w:rPr>
        <w:t>五、与有关法律、法规、强制性国家</w:t>
      </w:r>
      <w:r>
        <w:rPr>
          <w:rFonts w:ascii="仿宋_GB2312" w:eastAsia="仿宋_GB2312" w:hint="eastAsia"/>
          <w:b/>
          <w:sz w:val="28"/>
          <w:szCs w:val="28"/>
        </w:rPr>
        <w:t>标准的关系</w:t>
      </w:r>
    </w:p>
    <w:p w:rsidR="005C6ECD" w:rsidRDefault="001D0C5E">
      <w:pPr>
        <w:pStyle w:val="af0"/>
        <w:spacing w:line="440" w:lineRule="exact"/>
        <w:ind w:firstLine="560"/>
        <w:rPr>
          <w:rFonts w:ascii="仿宋_GB2312" w:eastAsia="仿宋_GB2312"/>
          <w:sz w:val="28"/>
          <w:szCs w:val="28"/>
        </w:rPr>
      </w:pPr>
      <w:r>
        <w:rPr>
          <w:rFonts w:ascii="仿宋_GB2312" w:eastAsia="仿宋_GB2312" w:hint="eastAsia"/>
          <w:sz w:val="28"/>
          <w:szCs w:val="28"/>
        </w:rPr>
        <w:t>本标准是在国家相关的法律、法规和强制性国家标准的基础上结合行业特点制定出来的，因此与它们没有冲突。</w:t>
      </w:r>
    </w:p>
    <w:p w:rsidR="005C6ECD" w:rsidRDefault="001D0C5E">
      <w:pPr>
        <w:pStyle w:val="af0"/>
        <w:spacing w:line="440" w:lineRule="exact"/>
        <w:ind w:firstLine="562"/>
        <w:rPr>
          <w:rFonts w:ascii="仿宋_GB2312" w:eastAsia="仿宋_GB2312"/>
          <w:b/>
          <w:sz w:val="28"/>
          <w:szCs w:val="28"/>
        </w:rPr>
      </w:pPr>
      <w:r>
        <w:rPr>
          <w:rFonts w:ascii="仿宋_GB2312" w:eastAsia="仿宋_GB2312" w:hint="eastAsia"/>
          <w:b/>
          <w:sz w:val="28"/>
          <w:szCs w:val="28"/>
        </w:rPr>
        <w:t>六、重大意见分歧的处理经过和依据</w:t>
      </w:r>
    </w:p>
    <w:p w:rsidR="005C6ECD" w:rsidRDefault="001D0C5E">
      <w:pPr>
        <w:pStyle w:val="af0"/>
        <w:spacing w:line="440" w:lineRule="exact"/>
        <w:ind w:firstLine="560"/>
        <w:rPr>
          <w:rFonts w:ascii="仿宋_GB2312" w:eastAsia="仿宋_GB2312"/>
          <w:sz w:val="28"/>
          <w:szCs w:val="28"/>
        </w:rPr>
      </w:pPr>
      <w:r>
        <w:rPr>
          <w:rFonts w:ascii="仿宋_GB2312" w:eastAsia="仿宋_GB2312" w:hint="eastAsia"/>
          <w:sz w:val="28"/>
          <w:szCs w:val="28"/>
        </w:rPr>
        <w:t>无重大意见分歧。</w:t>
      </w:r>
    </w:p>
    <w:p w:rsidR="005C6ECD" w:rsidRDefault="001D0C5E">
      <w:pPr>
        <w:pStyle w:val="af0"/>
        <w:spacing w:line="440" w:lineRule="exact"/>
        <w:ind w:firstLine="562"/>
        <w:rPr>
          <w:rFonts w:ascii="仿宋_GB2312" w:eastAsia="仿宋_GB2312"/>
          <w:b/>
          <w:sz w:val="28"/>
          <w:szCs w:val="28"/>
        </w:rPr>
      </w:pPr>
      <w:r>
        <w:rPr>
          <w:rFonts w:ascii="仿宋_GB2312" w:eastAsia="仿宋_GB2312" w:hint="eastAsia"/>
          <w:b/>
          <w:sz w:val="28"/>
          <w:szCs w:val="28"/>
        </w:rPr>
        <w:t>七、涉及专利的有关说明</w:t>
      </w:r>
    </w:p>
    <w:p w:rsidR="005C6ECD" w:rsidRDefault="001D0C5E">
      <w:pPr>
        <w:pStyle w:val="af0"/>
        <w:spacing w:line="440" w:lineRule="exact"/>
        <w:ind w:firstLine="560"/>
        <w:rPr>
          <w:rFonts w:ascii="仿宋_GB2312" w:eastAsia="仿宋_GB2312"/>
          <w:sz w:val="28"/>
          <w:szCs w:val="28"/>
        </w:rPr>
      </w:pPr>
      <w:r>
        <w:rPr>
          <w:rFonts w:ascii="仿宋_GB2312" w:eastAsia="仿宋_GB2312" w:hint="eastAsia"/>
          <w:sz w:val="28"/>
          <w:szCs w:val="28"/>
        </w:rPr>
        <w:t>无</w:t>
      </w:r>
    </w:p>
    <w:p w:rsidR="005C6ECD" w:rsidRDefault="001D0C5E">
      <w:pPr>
        <w:spacing w:line="500" w:lineRule="exact"/>
        <w:ind w:firstLineChars="200" w:firstLine="562"/>
        <w:rPr>
          <w:rFonts w:ascii="仿宋_GB2312" w:eastAsia="仿宋_GB2312"/>
          <w:b/>
          <w:kern w:val="0"/>
          <w:sz w:val="28"/>
          <w:szCs w:val="28"/>
        </w:rPr>
      </w:pPr>
      <w:r>
        <w:rPr>
          <w:rFonts w:ascii="仿宋_GB2312" w:eastAsia="仿宋_GB2312" w:hint="eastAsia"/>
          <w:b/>
          <w:kern w:val="0"/>
          <w:sz w:val="28"/>
          <w:szCs w:val="28"/>
        </w:rPr>
        <w:t>八、贯彻标准的要求和建议措施</w:t>
      </w:r>
    </w:p>
    <w:p w:rsidR="005C6ECD" w:rsidRDefault="001D0C5E">
      <w:pPr>
        <w:pStyle w:val="af0"/>
        <w:spacing w:line="440" w:lineRule="exact"/>
        <w:ind w:firstLine="560"/>
        <w:rPr>
          <w:rFonts w:ascii="仿宋_GB2312" w:eastAsia="仿宋_GB2312"/>
          <w:sz w:val="28"/>
          <w:szCs w:val="28"/>
        </w:rPr>
      </w:pPr>
      <w:r>
        <w:rPr>
          <w:rFonts w:ascii="仿宋_GB2312" w:eastAsia="仿宋_GB2312" w:hint="eastAsia"/>
          <w:sz w:val="28"/>
          <w:szCs w:val="28"/>
        </w:rPr>
        <w:t>建议本标准发布后，要加大宣传力度，将标准公布的消息通过特种设备监管部门告知所有</w:t>
      </w:r>
      <w:r>
        <w:rPr>
          <w:rFonts w:ascii="仿宋_GB2312" w:eastAsia="仿宋_GB2312" w:hint="eastAsia"/>
          <w:sz w:val="28"/>
          <w:szCs w:val="28"/>
        </w:rPr>
        <w:t>燃油（气）锅炉</w:t>
      </w:r>
      <w:r>
        <w:rPr>
          <w:rFonts w:ascii="仿宋_GB2312" w:eastAsia="仿宋_GB2312" w:hint="eastAsia"/>
          <w:sz w:val="28"/>
          <w:szCs w:val="28"/>
        </w:rPr>
        <w:t>使用单位，扩大知名度，举办标准宣传贯彻培训班，指导使用单位建立本单位规范的操作规程并按照执行，建立标准化示范企业。同时，广泛收集标准实施过程中的问题和改进建议，为将来进一步完善标准作好准备。</w:t>
      </w:r>
    </w:p>
    <w:p w:rsidR="005C6ECD" w:rsidRDefault="001D0C5E">
      <w:pPr>
        <w:spacing w:line="400" w:lineRule="exact"/>
        <w:ind w:firstLineChars="200" w:firstLine="562"/>
        <w:rPr>
          <w:rFonts w:ascii="仿宋_GB2312" w:eastAsia="仿宋_GB2312" w:hAnsi="宋体"/>
          <w:b/>
          <w:sz w:val="28"/>
          <w:szCs w:val="28"/>
        </w:rPr>
      </w:pPr>
      <w:r>
        <w:rPr>
          <w:rFonts w:ascii="仿宋_GB2312" w:eastAsia="仿宋_GB2312" w:hAnsi="宋体" w:hint="eastAsia"/>
          <w:b/>
          <w:sz w:val="28"/>
          <w:szCs w:val="28"/>
        </w:rPr>
        <w:t>九、其他应当说明的事项</w:t>
      </w:r>
    </w:p>
    <w:p w:rsidR="005C6ECD" w:rsidRDefault="001D0C5E">
      <w:pPr>
        <w:spacing w:line="400" w:lineRule="exact"/>
        <w:ind w:firstLineChars="200" w:firstLine="560"/>
        <w:rPr>
          <w:rFonts w:ascii="仿宋_GB2312" w:eastAsia="仿宋_GB2312" w:hAnsi="宋体"/>
          <w:sz w:val="28"/>
          <w:szCs w:val="28"/>
        </w:rPr>
      </w:pPr>
      <w:r>
        <w:rPr>
          <w:rFonts w:ascii="仿宋_GB2312" w:eastAsia="仿宋_GB2312" w:hAnsi="宋体" w:hint="eastAsia"/>
          <w:sz w:val="28"/>
          <w:szCs w:val="28"/>
        </w:rPr>
        <w:t>无</w:t>
      </w:r>
      <w:bookmarkStart w:id="0" w:name="_GoBack"/>
      <w:bookmarkEnd w:id="0"/>
    </w:p>
    <w:sectPr w:rsidR="005C6EC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B5 + CAJSymbolA">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EA2025"/>
    <w:multiLevelType w:val="multilevel"/>
    <w:tmpl w:val="6CEA2025"/>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黑体" w:eastAsia="黑体" w:hAnsi="Times New Roman" w:hint="eastAsia"/>
        <w:b w:val="0"/>
        <w:i w:val="0"/>
        <w:sz w:val="21"/>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945"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74DE3C55"/>
    <w:rsid w:val="0002425A"/>
    <w:rsid w:val="000257E9"/>
    <w:rsid w:val="0006018E"/>
    <w:rsid w:val="000B199B"/>
    <w:rsid w:val="000C3F77"/>
    <w:rsid w:val="000E62F4"/>
    <w:rsid w:val="000E69E1"/>
    <w:rsid w:val="000F0875"/>
    <w:rsid w:val="000F0A28"/>
    <w:rsid w:val="00117CAE"/>
    <w:rsid w:val="001835FE"/>
    <w:rsid w:val="00196B34"/>
    <w:rsid w:val="001D0C5E"/>
    <w:rsid w:val="00207001"/>
    <w:rsid w:val="00214065"/>
    <w:rsid w:val="00244800"/>
    <w:rsid w:val="002709E4"/>
    <w:rsid w:val="002E2A71"/>
    <w:rsid w:val="002E33C6"/>
    <w:rsid w:val="002F01BA"/>
    <w:rsid w:val="002F4E51"/>
    <w:rsid w:val="00301F8F"/>
    <w:rsid w:val="00320670"/>
    <w:rsid w:val="003A489C"/>
    <w:rsid w:val="003F45F8"/>
    <w:rsid w:val="00401664"/>
    <w:rsid w:val="00432BDD"/>
    <w:rsid w:val="004465D3"/>
    <w:rsid w:val="00475C45"/>
    <w:rsid w:val="004760C9"/>
    <w:rsid w:val="004A0337"/>
    <w:rsid w:val="004D583D"/>
    <w:rsid w:val="00594667"/>
    <w:rsid w:val="005C6ECD"/>
    <w:rsid w:val="00630A1D"/>
    <w:rsid w:val="00630C06"/>
    <w:rsid w:val="00633A7D"/>
    <w:rsid w:val="00660E70"/>
    <w:rsid w:val="00664BF5"/>
    <w:rsid w:val="0069489A"/>
    <w:rsid w:val="006B5622"/>
    <w:rsid w:val="007E44BE"/>
    <w:rsid w:val="00800470"/>
    <w:rsid w:val="00811183"/>
    <w:rsid w:val="008424FC"/>
    <w:rsid w:val="00881B57"/>
    <w:rsid w:val="008C658D"/>
    <w:rsid w:val="008D715D"/>
    <w:rsid w:val="008D78D6"/>
    <w:rsid w:val="008E14FC"/>
    <w:rsid w:val="00954CA2"/>
    <w:rsid w:val="009961DF"/>
    <w:rsid w:val="009A5779"/>
    <w:rsid w:val="009F53CD"/>
    <w:rsid w:val="00A05BFA"/>
    <w:rsid w:val="00AD3090"/>
    <w:rsid w:val="00B20946"/>
    <w:rsid w:val="00B444B8"/>
    <w:rsid w:val="00B45CD3"/>
    <w:rsid w:val="00B737FE"/>
    <w:rsid w:val="00B96BBF"/>
    <w:rsid w:val="00C01DE1"/>
    <w:rsid w:val="00C328FF"/>
    <w:rsid w:val="00C872D9"/>
    <w:rsid w:val="00C87A1B"/>
    <w:rsid w:val="00CB3AA4"/>
    <w:rsid w:val="00CF4F69"/>
    <w:rsid w:val="00D32BB9"/>
    <w:rsid w:val="00D4141D"/>
    <w:rsid w:val="00D64969"/>
    <w:rsid w:val="00DE6C25"/>
    <w:rsid w:val="00E04BFC"/>
    <w:rsid w:val="00E23DB5"/>
    <w:rsid w:val="00E27BD5"/>
    <w:rsid w:val="00E5483A"/>
    <w:rsid w:val="00E8242E"/>
    <w:rsid w:val="00E900C5"/>
    <w:rsid w:val="00F17255"/>
    <w:rsid w:val="00F44CF8"/>
    <w:rsid w:val="00F836D1"/>
    <w:rsid w:val="00FB2E43"/>
    <w:rsid w:val="00FC2B00"/>
    <w:rsid w:val="091F675F"/>
    <w:rsid w:val="09537CA3"/>
    <w:rsid w:val="25FF0E2B"/>
    <w:rsid w:val="370209E2"/>
    <w:rsid w:val="41873D96"/>
    <w:rsid w:val="41D61A5B"/>
    <w:rsid w:val="45933864"/>
    <w:rsid w:val="469014CD"/>
    <w:rsid w:val="4A7D0BF1"/>
    <w:rsid w:val="4BC805B9"/>
    <w:rsid w:val="4F8E7542"/>
    <w:rsid w:val="52A00FD0"/>
    <w:rsid w:val="552C5AF5"/>
    <w:rsid w:val="57E1562F"/>
    <w:rsid w:val="5B3B0C57"/>
    <w:rsid w:val="5CB1707D"/>
    <w:rsid w:val="64BE027E"/>
    <w:rsid w:val="6ACD607C"/>
    <w:rsid w:val="74DE3C55"/>
    <w:rsid w:val="7777891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4">
    <w:name w:val="Normal"/>
    <w:qFormat/>
    <w:pPr>
      <w:widowControl w:val="0"/>
      <w:jc w:val="both"/>
    </w:pPr>
    <w:rPr>
      <w:kern w:val="2"/>
      <w:sz w:val="21"/>
      <w:szCs w:val="24"/>
    </w:rPr>
  </w:style>
  <w:style w:type="paragraph" w:styleId="2">
    <w:name w:val="heading 2"/>
    <w:basedOn w:val="a4"/>
    <w:next w:val="a4"/>
    <w:semiHidden/>
    <w:unhideWhenUsed/>
    <w:qFormat/>
    <w:pPr>
      <w:spacing w:beforeAutospacing="1" w:afterAutospacing="1"/>
      <w:jc w:val="left"/>
      <w:outlineLvl w:val="1"/>
    </w:pPr>
    <w:rPr>
      <w:rFonts w:ascii="宋体" w:hAnsi="宋体" w:hint="eastAsia"/>
      <w:b/>
      <w:kern w:val="0"/>
      <w:sz w:val="36"/>
      <w:szCs w:val="36"/>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annotation text"/>
    <w:basedOn w:val="a4"/>
    <w:link w:val="Char"/>
    <w:qFormat/>
    <w:pPr>
      <w:jc w:val="left"/>
    </w:pPr>
  </w:style>
  <w:style w:type="paragraph" w:styleId="a9">
    <w:name w:val="Balloon Text"/>
    <w:basedOn w:val="a4"/>
    <w:link w:val="Char0"/>
    <w:qFormat/>
    <w:rPr>
      <w:sz w:val="18"/>
      <w:szCs w:val="18"/>
    </w:rPr>
  </w:style>
  <w:style w:type="paragraph" w:styleId="aa">
    <w:name w:val="footer"/>
    <w:basedOn w:val="a4"/>
    <w:link w:val="Char1"/>
    <w:qFormat/>
    <w:pPr>
      <w:tabs>
        <w:tab w:val="center" w:pos="4153"/>
        <w:tab w:val="right" w:pos="8306"/>
      </w:tabs>
      <w:snapToGrid w:val="0"/>
      <w:jc w:val="left"/>
    </w:pPr>
    <w:rPr>
      <w:sz w:val="18"/>
      <w:szCs w:val="18"/>
    </w:rPr>
  </w:style>
  <w:style w:type="paragraph" w:styleId="ab">
    <w:name w:val="header"/>
    <w:basedOn w:val="a4"/>
    <w:link w:val="Char2"/>
    <w:qFormat/>
    <w:pPr>
      <w:pBdr>
        <w:bottom w:val="single" w:sz="6" w:space="1" w:color="auto"/>
      </w:pBdr>
      <w:tabs>
        <w:tab w:val="center" w:pos="4153"/>
        <w:tab w:val="right" w:pos="8306"/>
      </w:tabs>
      <w:snapToGrid w:val="0"/>
      <w:jc w:val="center"/>
    </w:pPr>
    <w:rPr>
      <w:sz w:val="18"/>
      <w:szCs w:val="18"/>
    </w:rPr>
  </w:style>
  <w:style w:type="paragraph" w:styleId="ac">
    <w:name w:val="Normal (Web)"/>
    <w:basedOn w:val="a4"/>
    <w:qFormat/>
    <w:pPr>
      <w:widowControl/>
      <w:spacing w:before="100" w:beforeAutospacing="1" w:after="100" w:afterAutospacing="1" w:line="330" w:lineRule="atLeast"/>
      <w:jc w:val="left"/>
    </w:pPr>
    <w:rPr>
      <w:rFonts w:ascii="宋体" w:hAnsi="宋体" w:cs="宋体"/>
      <w:color w:val="000000"/>
      <w:kern w:val="0"/>
      <w:szCs w:val="21"/>
    </w:rPr>
  </w:style>
  <w:style w:type="paragraph" w:styleId="ad">
    <w:name w:val="annotation subject"/>
    <w:basedOn w:val="a8"/>
    <w:next w:val="a8"/>
    <w:link w:val="Char3"/>
    <w:qFormat/>
    <w:rPr>
      <w:b/>
      <w:bCs/>
    </w:rPr>
  </w:style>
  <w:style w:type="character" w:styleId="ae">
    <w:name w:val="annotation reference"/>
    <w:basedOn w:val="a5"/>
    <w:qFormat/>
    <w:rPr>
      <w:sz w:val="21"/>
      <w:szCs w:val="21"/>
    </w:rPr>
  </w:style>
  <w:style w:type="paragraph" w:customStyle="1" w:styleId="af">
    <w:name w:val="目次、标准名称标题"/>
    <w:basedOn w:val="a"/>
    <w:next w:val="af0"/>
    <w:qFormat/>
    <w:pPr>
      <w:numPr>
        <w:numId w:val="0"/>
      </w:numPr>
      <w:spacing w:line="460" w:lineRule="exact"/>
    </w:pPr>
  </w:style>
  <w:style w:type="paragraph" w:customStyle="1" w:styleId="a">
    <w:name w:val="前言、引言标题"/>
    <w:next w:val="a4"/>
    <w:qFormat/>
    <w:pPr>
      <w:numPr>
        <w:numId w:val="1"/>
      </w:numPr>
      <w:shd w:val="clear" w:color="FFFFFF" w:fill="FFFFFF"/>
      <w:tabs>
        <w:tab w:val="left" w:pos="360"/>
      </w:tabs>
      <w:spacing w:before="640" w:after="560"/>
      <w:jc w:val="center"/>
      <w:outlineLvl w:val="0"/>
    </w:pPr>
    <w:rPr>
      <w:rFonts w:ascii="黑体" w:eastAsia="黑体"/>
      <w:sz w:val="32"/>
    </w:rPr>
  </w:style>
  <w:style w:type="paragraph" w:customStyle="1" w:styleId="af0">
    <w:name w:val="段"/>
    <w:qFormat/>
    <w:pPr>
      <w:autoSpaceDE w:val="0"/>
      <w:autoSpaceDN w:val="0"/>
      <w:ind w:firstLineChars="200" w:firstLine="200"/>
      <w:jc w:val="both"/>
    </w:pPr>
    <w:rPr>
      <w:rFonts w:ascii="宋体"/>
      <w:sz w:val="21"/>
    </w:rPr>
  </w:style>
  <w:style w:type="paragraph" w:customStyle="1" w:styleId="a3">
    <w:name w:val="三级条标题"/>
    <w:basedOn w:val="a2"/>
    <w:next w:val="af0"/>
    <w:qFormat/>
    <w:pPr>
      <w:numPr>
        <w:ilvl w:val="4"/>
      </w:numPr>
      <w:outlineLvl w:val="4"/>
    </w:pPr>
  </w:style>
  <w:style w:type="paragraph" w:customStyle="1" w:styleId="a2">
    <w:name w:val="二级条标题"/>
    <w:basedOn w:val="a1"/>
    <w:next w:val="af0"/>
    <w:qFormat/>
    <w:pPr>
      <w:numPr>
        <w:ilvl w:val="3"/>
      </w:numPr>
      <w:outlineLvl w:val="3"/>
    </w:pPr>
  </w:style>
  <w:style w:type="paragraph" w:customStyle="1" w:styleId="a1">
    <w:name w:val="一级条标题"/>
    <w:basedOn w:val="a0"/>
    <w:next w:val="af0"/>
    <w:qFormat/>
    <w:pPr>
      <w:numPr>
        <w:ilvl w:val="2"/>
      </w:numPr>
      <w:spacing w:beforeLines="0" w:afterLines="0"/>
      <w:outlineLvl w:val="2"/>
    </w:pPr>
  </w:style>
  <w:style w:type="paragraph" w:customStyle="1" w:styleId="a0">
    <w:name w:val="章标题"/>
    <w:next w:val="af0"/>
    <w:qFormat/>
    <w:pPr>
      <w:numPr>
        <w:ilvl w:val="1"/>
        <w:numId w:val="1"/>
      </w:numPr>
      <w:tabs>
        <w:tab w:val="left" w:pos="360"/>
      </w:tabs>
      <w:spacing w:beforeLines="50" w:afterLines="50"/>
      <w:jc w:val="both"/>
      <w:outlineLvl w:val="1"/>
    </w:pPr>
    <w:rPr>
      <w:rFonts w:ascii="黑体" w:eastAsia="黑体"/>
      <w:sz w:val="21"/>
    </w:rPr>
  </w:style>
  <w:style w:type="character" w:customStyle="1" w:styleId="fontstyle01">
    <w:name w:val="fontstyle01"/>
    <w:basedOn w:val="a5"/>
    <w:qFormat/>
    <w:rPr>
      <w:rFonts w:ascii="宋体" w:eastAsia="宋体" w:hAnsi="宋体" w:cs="宋体"/>
      <w:color w:val="FFFFFF"/>
      <w:sz w:val="18"/>
      <w:szCs w:val="18"/>
    </w:rPr>
  </w:style>
  <w:style w:type="character" w:customStyle="1" w:styleId="fontstyle21">
    <w:name w:val="fontstyle21"/>
    <w:basedOn w:val="a5"/>
    <w:qFormat/>
    <w:rPr>
      <w:rFonts w:ascii="B5 + CAJSymbolA" w:eastAsia="B5 + CAJSymbolA" w:hAnsi="B5 + CAJSymbolA" w:cs="B5 + CAJSymbolA"/>
      <w:color w:val="FFFFFF"/>
      <w:sz w:val="6"/>
      <w:szCs w:val="6"/>
    </w:rPr>
  </w:style>
  <w:style w:type="character" w:customStyle="1" w:styleId="font11">
    <w:name w:val="font11"/>
    <w:basedOn w:val="a5"/>
    <w:qFormat/>
    <w:rPr>
      <w:rFonts w:ascii="宋体" w:eastAsia="宋体" w:hAnsi="宋体" w:cs="宋体" w:hint="eastAsia"/>
      <w:color w:val="000000"/>
      <w:sz w:val="21"/>
      <w:szCs w:val="21"/>
      <w:u w:val="none"/>
    </w:rPr>
  </w:style>
  <w:style w:type="character" w:customStyle="1" w:styleId="font01">
    <w:name w:val="font01"/>
    <w:basedOn w:val="a5"/>
    <w:qFormat/>
    <w:rPr>
      <w:rFonts w:ascii="Arial" w:hAnsi="Arial" w:cs="Arial"/>
      <w:color w:val="000000"/>
      <w:sz w:val="21"/>
      <w:szCs w:val="21"/>
      <w:u w:val="none"/>
    </w:rPr>
  </w:style>
  <w:style w:type="character" w:customStyle="1" w:styleId="Char2">
    <w:name w:val="页眉 Char"/>
    <w:basedOn w:val="a5"/>
    <w:link w:val="ab"/>
    <w:qFormat/>
    <w:rPr>
      <w:kern w:val="2"/>
      <w:sz w:val="18"/>
      <w:szCs w:val="18"/>
    </w:rPr>
  </w:style>
  <w:style w:type="character" w:customStyle="1" w:styleId="Char1">
    <w:name w:val="页脚 Char"/>
    <w:basedOn w:val="a5"/>
    <w:link w:val="aa"/>
    <w:qFormat/>
    <w:rPr>
      <w:kern w:val="2"/>
      <w:sz w:val="18"/>
      <w:szCs w:val="18"/>
    </w:rPr>
  </w:style>
  <w:style w:type="character" w:customStyle="1" w:styleId="Char">
    <w:name w:val="批注文字 Char"/>
    <w:basedOn w:val="a5"/>
    <w:link w:val="a8"/>
    <w:qFormat/>
    <w:rPr>
      <w:kern w:val="2"/>
      <w:sz w:val="21"/>
      <w:szCs w:val="24"/>
    </w:rPr>
  </w:style>
  <w:style w:type="character" w:customStyle="1" w:styleId="Char3">
    <w:name w:val="批注主题 Char"/>
    <w:basedOn w:val="Char"/>
    <w:link w:val="ad"/>
    <w:qFormat/>
    <w:rPr>
      <w:b/>
      <w:bCs/>
      <w:kern w:val="2"/>
      <w:sz w:val="21"/>
      <w:szCs w:val="24"/>
    </w:rPr>
  </w:style>
  <w:style w:type="character" w:customStyle="1" w:styleId="Char0">
    <w:name w:val="批注框文本 Char"/>
    <w:basedOn w:val="a5"/>
    <w:link w:val="a9"/>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297</Words>
  <Characters>1696</Characters>
  <Application>Microsoft Office Word</Application>
  <DocSecurity>0</DocSecurity>
  <Lines>14</Lines>
  <Paragraphs>3</Paragraphs>
  <ScaleCrop>false</ScaleCrop>
  <Company>china</Company>
  <LinksUpToDate>false</LinksUpToDate>
  <CharactersWithSpaces>1990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乐乐</dc:creator>
  <cp:lastModifiedBy>万增辉</cp:lastModifiedBy>
  <cp:revision>3</cp:revision>
  <dcterms:created xsi:type="dcterms:W3CDTF">2023-04-21T14:22:00Z</dcterms:created>
  <dcterms:modified xsi:type="dcterms:W3CDTF">2023-10-16T07:20:00Z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