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after="0"/>
        <w:rPr>
          <w:sz w:val="36"/>
          <w:szCs w:val="36"/>
        </w:rPr>
      </w:pPr>
      <w:r>
        <w:rPr>
          <w:rFonts w:hint="eastAsia"/>
          <w:sz w:val="36"/>
          <w:szCs w:val="36"/>
        </w:rPr>
        <w:t>河北省种设备学会团体标准</w:t>
      </w:r>
    </w:p>
    <w:p>
      <w:pPr>
        <w:pStyle w:val="12"/>
        <w:spacing w:before="0" w:after="0" w:line="500" w:lineRule="exact"/>
        <w:rPr>
          <w:rFonts w:hint="default" w:eastAsia="黑体"/>
          <w:sz w:val="36"/>
          <w:szCs w:val="36"/>
          <w:lang w:val="en-US" w:eastAsia="zh-CN"/>
        </w:rPr>
      </w:pPr>
      <w:r>
        <w:rPr>
          <w:rFonts w:hint="eastAsia"/>
          <w:sz w:val="36"/>
          <w:szCs w:val="36"/>
        </w:rPr>
        <w:t>《观光车和观光列车司机操作规程》---JD2023</w:t>
      </w:r>
      <w:r>
        <w:rPr>
          <w:rFonts w:hint="eastAsia"/>
          <w:sz w:val="36"/>
          <w:szCs w:val="36"/>
          <w:lang w:val="en-US" w:eastAsia="zh-CN"/>
        </w:rPr>
        <w:t>10</w:t>
      </w:r>
    </w:p>
    <w:p>
      <w:pPr>
        <w:pStyle w:val="12"/>
        <w:spacing w:before="0" w:after="0" w:line="500" w:lineRule="exact"/>
        <w:rPr>
          <w:sz w:val="36"/>
          <w:szCs w:val="36"/>
        </w:rPr>
      </w:pPr>
      <w:r>
        <w:rPr>
          <w:rFonts w:hint="eastAsia"/>
          <w:sz w:val="36"/>
          <w:szCs w:val="36"/>
        </w:rPr>
        <w:t>编制说明</w:t>
      </w:r>
    </w:p>
    <w:p>
      <w:pPr>
        <w:pStyle w:val="14"/>
        <w:ind w:firstLine="0" w:firstLineChars="0"/>
      </w:pPr>
    </w:p>
    <w:p>
      <w:pPr>
        <w:pStyle w:val="14"/>
        <w:spacing w:line="440" w:lineRule="exact"/>
        <w:ind w:firstLine="562"/>
        <w:rPr>
          <w:rFonts w:ascii="仿宋_GB2312" w:hAnsi="宋体" w:eastAsia="仿宋_GB2312"/>
          <w:b/>
          <w:kern w:val="2"/>
          <w:sz w:val="28"/>
          <w:szCs w:val="28"/>
        </w:rPr>
      </w:pPr>
      <w:r>
        <w:rPr>
          <w:rFonts w:hint="eastAsia" w:ascii="仿宋_GB2312" w:hAnsi="宋体" w:eastAsia="仿宋_GB2312"/>
          <w:b/>
          <w:kern w:val="2"/>
          <w:sz w:val="28"/>
          <w:szCs w:val="28"/>
        </w:rPr>
        <w:t>一、工作简况</w:t>
      </w:r>
    </w:p>
    <w:p>
      <w:pPr>
        <w:pStyle w:val="14"/>
        <w:spacing w:line="440" w:lineRule="exact"/>
        <w:ind w:firstLine="560"/>
        <w:rPr>
          <w:rFonts w:ascii="仿宋_GB2312" w:eastAsia="仿宋_GB2312"/>
          <w:sz w:val="28"/>
          <w:szCs w:val="28"/>
        </w:rPr>
      </w:pPr>
      <w:r>
        <w:rPr>
          <w:rFonts w:hint="eastAsia" w:ascii="仿宋_GB2312" w:eastAsia="仿宋_GB2312"/>
          <w:sz w:val="28"/>
          <w:szCs w:val="28"/>
        </w:rPr>
        <w:t>（一）任务来源</w:t>
      </w:r>
    </w:p>
    <w:p>
      <w:pPr>
        <w:pStyle w:val="14"/>
        <w:spacing w:line="440" w:lineRule="exact"/>
        <w:ind w:firstLine="560"/>
        <w:rPr>
          <w:rFonts w:ascii="仿宋_GB2312" w:eastAsia="仿宋_GB2312"/>
          <w:sz w:val="28"/>
          <w:szCs w:val="28"/>
        </w:rPr>
      </w:pPr>
      <w:r>
        <w:rPr>
          <w:rFonts w:hint="eastAsia" w:ascii="仿宋_GB2312" w:eastAsia="仿宋_GB2312"/>
          <w:sz w:val="28"/>
          <w:szCs w:val="28"/>
        </w:rPr>
        <w:t>本标准由河北省市场监督管理局特种设备局提出，经河北省特种设备学会批准，正式列入2023年河北省特种设备学会团体标准制修订计划，项目编号为JD2023</w:t>
      </w:r>
      <w:r>
        <w:rPr>
          <w:rFonts w:hint="eastAsia" w:ascii="仿宋_GB2312" w:eastAsia="仿宋_GB2312"/>
          <w:sz w:val="28"/>
          <w:szCs w:val="28"/>
          <w:lang w:val="en-US" w:eastAsia="zh-CN"/>
        </w:rPr>
        <w:t>10</w:t>
      </w:r>
      <w:r>
        <w:rPr>
          <w:rFonts w:hint="eastAsia" w:ascii="仿宋_GB2312" w:eastAsia="仿宋_GB2312"/>
          <w:sz w:val="28"/>
          <w:szCs w:val="28"/>
        </w:rPr>
        <w:t>，项目名称为《观光车和观光列车司机操作规程》。</w:t>
      </w:r>
    </w:p>
    <w:p>
      <w:pPr>
        <w:pStyle w:val="14"/>
        <w:spacing w:line="440" w:lineRule="exact"/>
        <w:ind w:firstLine="560"/>
        <w:rPr>
          <w:rFonts w:ascii="仿宋_GB2312" w:eastAsia="仿宋_GB2312"/>
          <w:sz w:val="28"/>
          <w:szCs w:val="28"/>
        </w:rPr>
      </w:pPr>
      <w:r>
        <w:rPr>
          <w:rFonts w:hint="eastAsia" w:ascii="仿宋_GB2312" w:eastAsia="仿宋_GB2312"/>
          <w:sz w:val="28"/>
          <w:szCs w:val="28"/>
        </w:rPr>
        <w:t>本标准起草单位：河北省特种设备技术检查中心</w:t>
      </w:r>
    </w:p>
    <w:p>
      <w:pPr>
        <w:pStyle w:val="14"/>
        <w:spacing w:line="440" w:lineRule="exact"/>
        <w:ind w:firstLine="560"/>
        <w:rPr>
          <w:rFonts w:ascii="仿宋_GB2312" w:eastAsia="仿宋_GB2312"/>
          <w:sz w:val="28"/>
          <w:szCs w:val="28"/>
        </w:rPr>
      </w:pPr>
      <w:r>
        <w:rPr>
          <w:rFonts w:hint="eastAsia" w:ascii="仿宋_GB2312" w:eastAsia="仿宋_GB2312"/>
          <w:sz w:val="28"/>
          <w:szCs w:val="28"/>
        </w:rPr>
        <w:t>本标准主要起草人：王文虎</w:t>
      </w:r>
    </w:p>
    <w:p>
      <w:pPr>
        <w:pStyle w:val="14"/>
        <w:spacing w:line="440" w:lineRule="exact"/>
        <w:ind w:firstLine="560"/>
        <w:rPr>
          <w:rFonts w:ascii="仿宋_GB2312" w:eastAsia="仿宋_GB2312"/>
          <w:sz w:val="28"/>
          <w:szCs w:val="28"/>
        </w:rPr>
      </w:pPr>
      <w:r>
        <w:rPr>
          <w:rFonts w:hint="eastAsia" w:ascii="仿宋_GB2312" w:eastAsia="仿宋_GB2312"/>
          <w:sz w:val="28"/>
          <w:szCs w:val="28"/>
        </w:rPr>
        <w:t>参与讨论审核人员：</w:t>
      </w:r>
      <w:r>
        <w:rPr>
          <w:rFonts w:hint="eastAsia" w:ascii="仿宋_GB2312" w:hAnsi="Times New Roman" w:eastAsia="仿宋_GB2312" w:cs="Times New Roman"/>
          <w:sz w:val="28"/>
          <w:szCs w:val="28"/>
          <w:lang w:eastAsia="zh-CN"/>
        </w:rPr>
        <w:t>许永坤、姚明、李秀璞、刘颖、王亚东、赵腾飞、魏麟、张文生</w:t>
      </w:r>
      <w:r>
        <w:rPr>
          <w:rFonts w:hint="eastAsia" w:ascii="仿宋_GB2312" w:hAnsi="Times New Roman" w:eastAsia="仿宋_GB2312" w:cs="Times New Roman"/>
          <w:sz w:val="28"/>
          <w:szCs w:val="28"/>
        </w:rPr>
        <w:t xml:space="preserve"> </w:t>
      </w:r>
    </w:p>
    <w:p>
      <w:pPr>
        <w:pStyle w:val="14"/>
        <w:spacing w:line="440" w:lineRule="exact"/>
        <w:ind w:firstLine="560"/>
        <w:rPr>
          <w:rFonts w:ascii="仿宋_GB2312" w:eastAsia="仿宋_GB2312"/>
          <w:sz w:val="28"/>
          <w:szCs w:val="28"/>
        </w:rPr>
      </w:pPr>
      <w:r>
        <w:rPr>
          <w:rFonts w:hint="eastAsia" w:ascii="仿宋_GB2312" w:eastAsia="仿宋_GB2312"/>
          <w:sz w:val="28"/>
          <w:szCs w:val="28"/>
        </w:rPr>
        <w:t>（二）制定背景</w:t>
      </w:r>
    </w:p>
    <w:p>
      <w:pPr>
        <w:pStyle w:val="14"/>
        <w:spacing w:line="440" w:lineRule="exact"/>
        <w:ind w:firstLine="560"/>
        <w:rPr>
          <w:rFonts w:ascii="仿宋_GB2312" w:eastAsia="仿宋_GB2312"/>
          <w:sz w:val="28"/>
          <w:szCs w:val="28"/>
        </w:rPr>
      </w:pPr>
      <w:r>
        <w:rPr>
          <w:rFonts w:hint="eastAsia" w:ascii="仿宋_GB2312" w:eastAsia="仿宋_GB2312"/>
          <w:sz w:val="28"/>
          <w:szCs w:val="28"/>
        </w:rPr>
        <w:t>1.目的</w:t>
      </w:r>
    </w:p>
    <w:p>
      <w:pPr>
        <w:pStyle w:val="14"/>
        <w:spacing w:line="440" w:lineRule="exact"/>
        <w:ind w:firstLine="560"/>
        <w:rPr>
          <w:rFonts w:ascii="仿宋_GB2312" w:eastAsia="仿宋_GB2312"/>
          <w:sz w:val="28"/>
          <w:szCs w:val="28"/>
        </w:rPr>
      </w:pPr>
      <w:r>
        <w:rPr>
          <w:rFonts w:hint="eastAsia" w:ascii="仿宋_GB2312" w:eastAsia="仿宋_GB2312"/>
          <w:sz w:val="28"/>
          <w:szCs w:val="28"/>
        </w:rPr>
        <w:t>规范观光车和观光列车安全使用，严格观光车和观光列车司机操作，降低观光车和观光列车故障和事故，保障观光车和观光列车安全运行。</w:t>
      </w:r>
    </w:p>
    <w:p>
      <w:pPr>
        <w:pStyle w:val="14"/>
        <w:spacing w:line="440" w:lineRule="exact"/>
        <w:ind w:firstLine="560"/>
        <w:rPr>
          <w:rFonts w:ascii="仿宋_GB2312" w:eastAsia="仿宋_GB2312"/>
          <w:sz w:val="28"/>
          <w:szCs w:val="28"/>
        </w:rPr>
      </w:pPr>
      <w:r>
        <w:rPr>
          <w:rFonts w:hint="eastAsia" w:ascii="仿宋_GB2312" w:eastAsia="仿宋_GB2312"/>
          <w:sz w:val="28"/>
          <w:szCs w:val="28"/>
        </w:rPr>
        <w:t>2.意义</w:t>
      </w:r>
    </w:p>
    <w:p>
      <w:pPr>
        <w:pStyle w:val="14"/>
        <w:spacing w:line="440" w:lineRule="exact"/>
        <w:ind w:firstLine="560"/>
        <w:rPr>
          <w:rFonts w:ascii="仿宋_GB2312" w:eastAsia="仿宋_GB2312"/>
          <w:sz w:val="28"/>
          <w:szCs w:val="28"/>
        </w:rPr>
      </w:pPr>
      <w:r>
        <w:rPr>
          <w:rFonts w:hint="eastAsia" w:ascii="仿宋_GB2312" w:eastAsia="仿宋_GB2312"/>
          <w:sz w:val="28"/>
          <w:szCs w:val="28"/>
        </w:rPr>
        <w:t>近二十多年来，伴随我省经济发展的步伐，观光车和观光列车的数量也在突飞猛进。而观光车和观光列车运行的安全问题，也日渐突出，观光车和观光列车的故障率也有上升趋势，观光车和观光列车事故也时有发生。因此，严格观光车和观光列车司机安全操作，降低观光车和观光列车运行故障率，保障观光车和观光列车安全运行，具有十分重要的国计民生意义。</w:t>
      </w:r>
    </w:p>
    <w:p>
      <w:pPr>
        <w:pStyle w:val="14"/>
        <w:spacing w:line="440" w:lineRule="exact"/>
        <w:ind w:firstLine="560"/>
        <w:rPr>
          <w:rFonts w:ascii="仿宋_GB2312" w:eastAsia="仿宋_GB2312"/>
          <w:sz w:val="28"/>
          <w:szCs w:val="28"/>
        </w:rPr>
      </w:pPr>
      <w:r>
        <w:rPr>
          <w:rFonts w:hint="eastAsia" w:ascii="仿宋_GB2312" w:eastAsia="仿宋_GB2312"/>
          <w:sz w:val="28"/>
          <w:szCs w:val="28"/>
        </w:rPr>
        <w:t>（1）提高观光车和观光列车的操作水平，观光车和观光列车数量阶段性的猛增，伴随着观光车和观光列车操作人员的仓促上岗，从而形成观光车和观光列车操作人员专业知识欠缺，观光车和观光列车操作工作不规范，维护保养工作不到位，使用单位制定的操作规程，可起到一定的积极作用，以前从一般的、简单的要求，现在可以从“规程”的角度去规范操作行为，以保障全省观光车和观光列车的安全运行。</w:t>
      </w:r>
    </w:p>
    <w:p>
      <w:pPr>
        <w:pStyle w:val="14"/>
        <w:spacing w:line="440" w:lineRule="exact"/>
        <w:ind w:firstLine="560"/>
        <w:rPr>
          <w:rFonts w:ascii="仿宋_GB2312" w:eastAsia="仿宋_GB2312"/>
          <w:sz w:val="28"/>
          <w:szCs w:val="28"/>
        </w:rPr>
      </w:pPr>
      <w:r>
        <w:rPr>
          <w:rFonts w:hint="eastAsia" w:ascii="仿宋_GB2312" w:eastAsia="仿宋_GB2312"/>
          <w:sz w:val="28"/>
          <w:szCs w:val="28"/>
        </w:rPr>
        <w:t>（2）保障观光车和观光列车的安全运行，观光车和观光列车的规范操作，直接关系到观光车和观光列车能否安全运行，近几年的国内观光车和观光列车事故也是触目惊心，究其原因，多数是因为观光车和观光列车违规操作造成，这就期待着有个良好的操作规程来引导观光车和观光列车司机安全操作工作，来规范观光车和观光列车操作工作应达到的一个标准，以保障观光车和观光列车的安全性能可靠有效，使得观光车和观光列车能够实时的安全运行。</w:t>
      </w:r>
    </w:p>
    <w:p>
      <w:pPr>
        <w:pStyle w:val="14"/>
        <w:spacing w:line="440" w:lineRule="exact"/>
        <w:ind w:firstLine="560"/>
        <w:rPr>
          <w:rFonts w:ascii="仿宋_GB2312" w:eastAsia="仿宋_GB2312"/>
          <w:sz w:val="28"/>
          <w:szCs w:val="28"/>
        </w:rPr>
      </w:pPr>
      <w:r>
        <w:rPr>
          <w:rFonts w:hint="eastAsia" w:ascii="仿宋_GB2312" w:eastAsia="仿宋_GB2312"/>
          <w:sz w:val="28"/>
          <w:szCs w:val="28"/>
        </w:rPr>
        <w:t>（三）工作过程</w:t>
      </w:r>
    </w:p>
    <w:p>
      <w:pPr>
        <w:pStyle w:val="14"/>
        <w:spacing w:line="440" w:lineRule="exact"/>
        <w:ind w:firstLine="560"/>
        <w:rPr>
          <w:rFonts w:ascii="仿宋_GB2312" w:eastAsia="仿宋_GB2312"/>
          <w:sz w:val="28"/>
          <w:szCs w:val="28"/>
        </w:rPr>
      </w:pPr>
      <w:r>
        <w:rPr>
          <w:rFonts w:hint="eastAsia" w:ascii="仿宋_GB2312" w:eastAsia="仿宋_GB2312"/>
          <w:sz w:val="28"/>
          <w:szCs w:val="28"/>
        </w:rPr>
        <w:t>《观光车和观光列车司机操作规程》项目起草工作组首先成立了规程编制小组，确定小组成员，并对各成员进行了具体分工，分别开展了相关资料的收集分析和深入的调研工作，并制定了编写计划，参照了国内目前有效的有关规范、标准，草拟出《观光车和观光列车司机操作规程》的初稿。工作小组多次组织人员对初稿进行讨论，广泛征求和采纳了省内外与观光车和观光列车有关单位的正确见解与意见。</w:t>
      </w:r>
    </w:p>
    <w:p>
      <w:pPr>
        <w:pStyle w:val="14"/>
        <w:spacing w:line="440" w:lineRule="exact"/>
        <w:ind w:firstLine="562"/>
        <w:rPr>
          <w:rFonts w:ascii="仿宋_GB2312" w:eastAsia="仿宋_GB2312"/>
          <w:b/>
          <w:sz w:val="28"/>
          <w:szCs w:val="28"/>
        </w:rPr>
      </w:pPr>
      <w:r>
        <w:rPr>
          <w:rFonts w:hint="eastAsia" w:ascii="仿宋_GB2312" w:eastAsia="仿宋_GB2312"/>
          <w:b/>
          <w:sz w:val="28"/>
          <w:szCs w:val="28"/>
        </w:rPr>
        <w:t>二、编制原则、主要内容及确定依据</w:t>
      </w:r>
    </w:p>
    <w:p>
      <w:pPr>
        <w:pStyle w:val="14"/>
        <w:spacing w:line="440" w:lineRule="exact"/>
        <w:ind w:firstLine="560"/>
        <w:rPr>
          <w:rFonts w:ascii="仿宋_GB2312" w:eastAsia="仿宋_GB2312"/>
          <w:sz w:val="28"/>
          <w:szCs w:val="28"/>
        </w:rPr>
      </w:pPr>
      <w:r>
        <w:rPr>
          <w:rFonts w:hint="eastAsia" w:ascii="仿宋_GB2312" w:eastAsia="仿宋_GB2312"/>
          <w:sz w:val="28"/>
          <w:szCs w:val="28"/>
        </w:rPr>
        <w:t>（一） 编写原则</w:t>
      </w:r>
    </w:p>
    <w:p>
      <w:pPr>
        <w:pStyle w:val="14"/>
        <w:spacing w:line="440" w:lineRule="exact"/>
        <w:ind w:firstLine="560"/>
        <w:rPr>
          <w:rFonts w:ascii="仿宋_GB2312" w:eastAsia="仿宋_GB2312"/>
          <w:sz w:val="28"/>
          <w:szCs w:val="28"/>
        </w:rPr>
      </w:pPr>
      <w:r>
        <w:rPr>
          <w:rFonts w:hint="eastAsia" w:ascii="仿宋_GB2312" w:eastAsia="仿宋_GB2312"/>
          <w:sz w:val="28"/>
          <w:szCs w:val="28"/>
        </w:rPr>
        <w:t>本规程按照GB/T 1.1—2020《标准化工作导则  第1部分：标准化文件的结构和起草规则》的规定起草。其编制遵循“先进性、实用性、统一性、规范性”的原则，尽可能与实际操作相接轨，注重规程的可操作性。</w:t>
      </w:r>
    </w:p>
    <w:p>
      <w:pPr>
        <w:pStyle w:val="14"/>
        <w:spacing w:line="440" w:lineRule="exact"/>
        <w:ind w:firstLine="560"/>
        <w:rPr>
          <w:rFonts w:ascii="仿宋_GB2312" w:eastAsia="仿宋_GB2312"/>
          <w:sz w:val="28"/>
          <w:szCs w:val="28"/>
        </w:rPr>
      </w:pPr>
      <w:r>
        <w:rPr>
          <w:rFonts w:hint="eastAsia" w:ascii="仿宋_GB2312" w:eastAsia="仿宋_GB2312"/>
          <w:sz w:val="28"/>
          <w:szCs w:val="28"/>
        </w:rPr>
        <w:t>（二）主要内容</w:t>
      </w:r>
    </w:p>
    <w:p>
      <w:pPr>
        <w:pStyle w:val="14"/>
        <w:spacing w:line="440" w:lineRule="exact"/>
        <w:ind w:firstLine="560"/>
        <w:rPr>
          <w:rFonts w:ascii="仿宋_GB2312" w:eastAsia="仿宋_GB2312"/>
          <w:sz w:val="28"/>
          <w:szCs w:val="28"/>
        </w:rPr>
      </w:pPr>
      <w:r>
        <w:rPr>
          <w:rFonts w:hint="eastAsia" w:ascii="仿宋_GB2312" w:eastAsia="仿宋_GB2312"/>
          <w:sz w:val="28"/>
          <w:szCs w:val="28"/>
        </w:rPr>
        <w:t>本文件规定了观光车和观光列车司机操作的基本要求、作业程序和应急处置。</w:t>
      </w:r>
    </w:p>
    <w:p>
      <w:pPr>
        <w:pStyle w:val="14"/>
        <w:spacing w:line="440" w:lineRule="exact"/>
        <w:ind w:firstLine="56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主要内容如下：</w:t>
      </w:r>
    </w:p>
    <w:p>
      <w:pPr>
        <w:pStyle w:val="14"/>
        <w:spacing w:line="440" w:lineRule="exact"/>
        <w:ind w:firstLine="56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（1）规程中“4　基本要求”，对使用单位、司机、车辆、作业条件、安全要求等内容明确了基本要求。</w:t>
      </w:r>
    </w:p>
    <w:p>
      <w:pPr>
        <w:pStyle w:val="14"/>
        <w:spacing w:line="440" w:lineRule="exact"/>
        <w:ind w:firstLine="56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（2）规程中“5　作业程序”，明确了车辆检查、车辆操作、车辆存放、车辆加油和充电等检查和操作要领。</w:t>
      </w:r>
    </w:p>
    <w:p>
      <w:pPr>
        <w:pStyle w:val="14"/>
        <w:spacing w:line="440" w:lineRule="exact"/>
        <w:ind w:firstLine="56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（3）规程中“6　应急处置”，明确了应急处置的一般要求和转移抛锚车辆、排险控险、医疗救护等应急处置的安全要点。</w:t>
      </w:r>
    </w:p>
    <w:p>
      <w:pPr>
        <w:pStyle w:val="14"/>
        <w:spacing w:line="440" w:lineRule="exact"/>
        <w:ind w:firstLine="56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（三）主要内容的确定依据</w:t>
      </w:r>
    </w:p>
    <w:p>
      <w:pPr>
        <w:pStyle w:val="14"/>
        <w:spacing w:line="440" w:lineRule="exact"/>
        <w:ind w:firstLine="56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本文件的主要确定依据，TSG 08-2017 《特种设备使用管理规则》、TSG 81-2022 《场（厂）内专用机动车辆安全技术规程》 、TSG Z6001 《特种设备作业人员考核规则》、GB/T</w:t>
      </w:r>
      <w:r>
        <w:rPr>
          <w:rFonts w:hint="eastAsia" w:ascii="仿宋_GB2312" w:hAnsi="Times New Roman" w:eastAsia="仿宋_GB2312" w:cs="Times New Roman"/>
          <w:sz w:val="28"/>
          <w:szCs w:val="28"/>
          <w:lang w:val="en-US" w:eastAsia="zh-CN"/>
        </w:rPr>
        <w:t>16178-2011</w:t>
      </w:r>
      <w:r>
        <w:rPr>
          <w:rFonts w:hint="eastAsia" w:ascii="仿宋_GB2312" w:hAnsi="Times New Roman" w:eastAsia="仿宋_GB2312" w:cs="Times New Roman"/>
          <w:sz w:val="28"/>
          <w:szCs w:val="28"/>
        </w:rPr>
        <w:t xml:space="preserve"> 《场（内）机动车辆安全检验技术要求》、GB/T21268-2014 《非公路用旅游观光车通用技术条件》等。</w:t>
      </w:r>
    </w:p>
    <w:p>
      <w:pPr>
        <w:pStyle w:val="14"/>
        <w:spacing w:line="440" w:lineRule="exact"/>
        <w:ind w:firstLine="562"/>
        <w:rPr>
          <w:rFonts w:ascii="仿宋_GB2312" w:eastAsia="仿宋_GB2312"/>
          <w:b/>
          <w:sz w:val="28"/>
          <w:szCs w:val="28"/>
        </w:rPr>
      </w:pPr>
      <w:r>
        <w:rPr>
          <w:rFonts w:hint="eastAsia" w:ascii="仿宋_GB2312" w:eastAsia="仿宋_GB2312"/>
          <w:b/>
          <w:sz w:val="28"/>
          <w:szCs w:val="28"/>
        </w:rPr>
        <w:t>三、技术性论证，预期的效果</w:t>
      </w:r>
    </w:p>
    <w:p>
      <w:pPr>
        <w:pStyle w:val="14"/>
        <w:spacing w:line="440" w:lineRule="exact"/>
        <w:ind w:firstLine="560"/>
        <w:rPr>
          <w:rFonts w:hint="eastAsia" w:ascii="仿宋_GB2312" w:hAnsi="Times New Roman" w:eastAsia="仿宋_GB2312" w:cs="Times New Roman"/>
          <w:sz w:val="28"/>
          <w:szCs w:val="28"/>
        </w:rPr>
      </w:pPr>
      <w:bookmarkStart w:id="0" w:name="_GoBack"/>
      <w:bookmarkEnd w:id="0"/>
      <w:r>
        <w:rPr>
          <w:rFonts w:hint="eastAsia" w:ascii="仿宋_GB2312" w:hAnsi="Times New Roman" w:eastAsia="仿宋_GB2312" w:cs="Times New Roman"/>
          <w:sz w:val="28"/>
          <w:szCs w:val="28"/>
        </w:rPr>
        <w:t>本</w:t>
      </w:r>
      <w:r>
        <w:rPr>
          <w:rFonts w:hint="eastAsia" w:ascii="仿宋_GB2312" w:hAnsi="Times New Roman" w:eastAsia="仿宋_GB2312" w:cs="Times New Roman"/>
          <w:sz w:val="28"/>
          <w:szCs w:val="28"/>
          <w:lang w:eastAsia="zh-CN"/>
        </w:rPr>
        <w:t>规程</w:t>
      </w:r>
      <w:r>
        <w:rPr>
          <w:rFonts w:hint="eastAsia" w:ascii="仿宋_GB2312" w:hAnsi="Times New Roman" w:eastAsia="仿宋_GB2312" w:cs="Times New Roman"/>
          <w:sz w:val="28"/>
          <w:szCs w:val="28"/>
        </w:rPr>
        <w:t>在广泛征求省内相关专家、观光车和观光列车使用单位的专业技术人员意见，总结观光车和观光列车司机操作的实践经验的基础上制定，有利于观光车和观光列车使用单位规范司机操作，可作为推荐性标准在观光车和观光列车司机操作中应用。</w:t>
      </w:r>
    </w:p>
    <w:p>
      <w:pPr>
        <w:pStyle w:val="14"/>
        <w:spacing w:line="440" w:lineRule="exact"/>
        <w:ind w:firstLine="562"/>
        <w:rPr>
          <w:rFonts w:ascii="仿宋_GB2312" w:eastAsia="仿宋_GB2312"/>
          <w:b/>
          <w:sz w:val="28"/>
          <w:szCs w:val="28"/>
        </w:rPr>
      </w:pPr>
      <w:r>
        <w:rPr>
          <w:rFonts w:hint="eastAsia" w:ascii="仿宋_GB2312" w:eastAsia="仿宋_GB2312"/>
          <w:b/>
          <w:sz w:val="28"/>
          <w:szCs w:val="28"/>
        </w:rPr>
        <w:t>四、采用国际标准和国外先进标准情况，以及与国内外同类标准水平的对比情况</w:t>
      </w:r>
    </w:p>
    <w:p>
      <w:pPr>
        <w:pStyle w:val="14"/>
        <w:spacing w:line="440" w:lineRule="exact"/>
        <w:ind w:firstLine="560"/>
        <w:rPr>
          <w:rFonts w:ascii="仿宋_GB2312" w:eastAsia="仿宋_GB2312"/>
          <w:sz w:val="28"/>
          <w:szCs w:val="28"/>
        </w:rPr>
      </w:pPr>
      <w:r>
        <w:rPr>
          <w:rFonts w:hint="eastAsia" w:ascii="仿宋_GB2312" w:eastAsia="仿宋_GB2312"/>
          <w:sz w:val="28"/>
          <w:szCs w:val="28"/>
        </w:rPr>
        <w:t>没有采用国际标准和国外先进标准。</w:t>
      </w:r>
    </w:p>
    <w:p>
      <w:pPr>
        <w:pStyle w:val="14"/>
        <w:spacing w:line="440" w:lineRule="exact"/>
        <w:ind w:firstLine="562"/>
        <w:rPr>
          <w:rFonts w:ascii="仿宋_GB2312" w:eastAsia="仿宋_GB2312"/>
          <w:b/>
          <w:sz w:val="28"/>
          <w:szCs w:val="28"/>
        </w:rPr>
      </w:pPr>
      <w:r>
        <w:rPr>
          <w:rFonts w:hint="eastAsia" w:ascii="仿宋_GB2312" w:eastAsia="仿宋_GB2312"/>
          <w:b/>
          <w:sz w:val="28"/>
          <w:szCs w:val="28"/>
        </w:rPr>
        <w:t>五、与有关法律、法规、强制性国家标准的关系</w:t>
      </w:r>
    </w:p>
    <w:p>
      <w:pPr>
        <w:pStyle w:val="14"/>
        <w:spacing w:line="440" w:lineRule="exact"/>
        <w:ind w:firstLine="560"/>
        <w:rPr>
          <w:rFonts w:ascii="仿宋_GB2312" w:eastAsia="仿宋_GB2312"/>
          <w:sz w:val="28"/>
          <w:szCs w:val="28"/>
        </w:rPr>
      </w:pPr>
      <w:r>
        <w:rPr>
          <w:rFonts w:hint="eastAsia" w:ascii="仿宋_GB2312" w:eastAsia="仿宋_GB2312"/>
          <w:sz w:val="28"/>
          <w:szCs w:val="28"/>
        </w:rPr>
        <w:t>本规程是在国家相关的法律、法规和强制性国家标准的基础上结合我省观光车和观光列车运行现状的特点制定出来的，因此与它们没有冲突。</w:t>
      </w:r>
    </w:p>
    <w:p>
      <w:pPr>
        <w:pStyle w:val="14"/>
        <w:spacing w:line="440" w:lineRule="exact"/>
        <w:ind w:firstLine="562"/>
        <w:rPr>
          <w:rFonts w:ascii="仿宋_GB2312" w:eastAsia="仿宋_GB2312"/>
          <w:b/>
          <w:sz w:val="28"/>
          <w:szCs w:val="28"/>
        </w:rPr>
      </w:pPr>
      <w:r>
        <w:rPr>
          <w:rFonts w:hint="eastAsia" w:ascii="仿宋_GB2312" w:eastAsia="仿宋_GB2312"/>
          <w:b/>
          <w:sz w:val="28"/>
          <w:szCs w:val="28"/>
        </w:rPr>
        <w:t>六、重大意见分歧的处理经过和依据</w:t>
      </w:r>
    </w:p>
    <w:p>
      <w:pPr>
        <w:pStyle w:val="14"/>
        <w:spacing w:line="440" w:lineRule="exact"/>
        <w:ind w:firstLine="560"/>
        <w:rPr>
          <w:rFonts w:ascii="仿宋_GB2312" w:eastAsia="仿宋_GB2312"/>
          <w:sz w:val="28"/>
          <w:szCs w:val="28"/>
        </w:rPr>
      </w:pPr>
      <w:r>
        <w:rPr>
          <w:rFonts w:hint="eastAsia" w:ascii="仿宋_GB2312" w:eastAsia="仿宋_GB2312"/>
          <w:sz w:val="28"/>
          <w:szCs w:val="28"/>
        </w:rPr>
        <w:t>规程充分反映了省内多数专家与观光车和观光列车使用单位的专业技术人员的意见，由于标准编制小组人员的水平有限，本标准的内容以及各个单项指标免不了有不足之处,有待在实践中修订。</w:t>
      </w:r>
    </w:p>
    <w:p>
      <w:pPr>
        <w:pStyle w:val="14"/>
        <w:spacing w:line="440" w:lineRule="exact"/>
        <w:ind w:firstLine="562"/>
        <w:rPr>
          <w:rFonts w:ascii="仿宋_GB2312" w:eastAsia="仿宋_GB2312"/>
          <w:b/>
          <w:sz w:val="28"/>
          <w:szCs w:val="28"/>
        </w:rPr>
      </w:pPr>
      <w:r>
        <w:rPr>
          <w:rFonts w:hint="eastAsia" w:ascii="仿宋_GB2312" w:eastAsia="仿宋_GB2312"/>
          <w:b/>
          <w:sz w:val="28"/>
          <w:szCs w:val="28"/>
        </w:rPr>
        <w:t>七、贯彻规程的要求和建议措施</w:t>
      </w:r>
    </w:p>
    <w:p>
      <w:pPr>
        <w:pStyle w:val="14"/>
        <w:spacing w:line="440" w:lineRule="exact"/>
        <w:ind w:firstLine="560"/>
        <w:rPr>
          <w:rFonts w:ascii="仿宋_GB2312" w:eastAsia="仿宋_GB2312"/>
          <w:sz w:val="28"/>
          <w:szCs w:val="28"/>
        </w:rPr>
      </w:pPr>
      <w:r>
        <w:rPr>
          <w:rFonts w:hint="eastAsia" w:ascii="仿宋_GB2312" w:eastAsia="仿宋_GB2312"/>
          <w:sz w:val="28"/>
          <w:szCs w:val="28"/>
        </w:rPr>
        <w:t>建议本规程发布后，要加大宣传力度，将规程公布的消息在行业内大力宣传，扩大知名度，举办标准宣传贯彻培训班，指导相关观光车和观光列车使用单位、观光车和观光列车监督管理单位等，贯彻落实观光车和观光列车司机操作规程的要点与要领，力争全面提升我省观光车和观光列车安全运行。同时，广泛收集规程实施过程中的问题和改进建议，为将来进一步完善标准作好准备。</w:t>
      </w:r>
    </w:p>
    <w:p>
      <w:pPr>
        <w:spacing w:line="40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八、其他应当说明的事项</w:t>
      </w:r>
    </w:p>
    <w:p>
      <w:pPr>
        <w:spacing w:line="400" w:lineRule="exact"/>
        <w:ind w:firstLine="560" w:firstLineChars="200"/>
        <w:rPr>
          <w:rFonts w:ascii="仿宋_GB2312" w:hAnsi="宋体" w:eastAsia="仿宋_GB2312"/>
          <w:sz w:val="28"/>
          <w:szCs w:val="28"/>
        </w:rPr>
      </w:pPr>
      <w:r>
        <w:rPr>
          <w:rFonts w:hint="eastAsia" w:ascii="仿宋_GB2312" w:hAnsi="宋体" w:eastAsia="仿宋_GB2312"/>
          <w:sz w:val="28"/>
          <w:szCs w:val="28"/>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5 + CAJSymbolA">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9A2AF1"/>
    <w:multiLevelType w:val="multilevel"/>
    <w:tmpl w:val="5D9A2AF1"/>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pStyle w:val="28"/>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6CEA2025"/>
    <w:multiLevelType w:val="multilevel"/>
    <w:tmpl w:val="6CEA2025"/>
    <w:lvl w:ilvl="0" w:tentative="0">
      <w:start w:val="1"/>
      <w:numFmt w:val="none"/>
      <w:pStyle w:val="13"/>
      <w:suff w:val="nothing"/>
      <w:lvlText w:val="%1"/>
      <w:lvlJc w:val="left"/>
      <w:pPr>
        <w:ind w:left="0" w:firstLine="0"/>
      </w:pPr>
      <w:rPr>
        <w:rFonts w:hint="default" w:ascii="Times New Roman" w:hAnsi="Times New Roman"/>
        <w:b/>
        <w:i w:val="0"/>
        <w:sz w:val="21"/>
      </w:rPr>
    </w:lvl>
    <w:lvl w:ilvl="1" w:tentative="0">
      <w:start w:val="1"/>
      <w:numFmt w:val="decimal"/>
      <w:pStyle w:val="18"/>
      <w:suff w:val="nothing"/>
      <w:lvlText w:val="%1%2　"/>
      <w:lvlJc w:val="left"/>
      <w:pPr>
        <w:ind w:left="0" w:firstLine="0"/>
      </w:pPr>
      <w:rPr>
        <w:rFonts w:hint="eastAsia" w:ascii="黑体" w:hAnsi="Times New Roman" w:eastAsia="黑体"/>
        <w:b w:val="0"/>
        <w:i w:val="0"/>
        <w:sz w:val="21"/>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6"/>
      <w:suff w:val="nothing"/>
      <w:lvlText w:val="%1%2.%3.%4　"/>
      <w:lvlJc w:val="left"/>
      <w:pPr>
        <w:ind w:left="0" w:firstLine="0"/>
      </w:pPr>
      <w:rPr>
        <w:rFonts w:hint="eastAsia" w:ascii="黑体" w:hAnsi="Times New Roman" w:eastAsia="黑体"/>
        <w:b w:val="0"/>
        <w:i w:val="0"/>
        <w:sz w:val="21"/>
      </w:rPr>
    </w:lvl>
    <w:lvl w:ilvl="4" w:tentative="0">
      <w:start w:val="1"/>
      <w:numFmt w:val="decimal"/>
      <w:pStyle w:val="15"/>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945"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ZmVlY2QxZTZkMjgxMjIxOGEyMjhlOTlhMjcyNWUifQ=="/>
  </w:docVars>
  <w:rsids>
    <w:rsidRoot w:val="74DE3C55"/>
    <w:rsid w:val="0002425A"/>
    <w:rsid w:val="000257E9"/>
    <w:rsid w:val="00027470"/>
    <w:rsid w:val="0004395F"/>
    <w:rsid w:val="0006018E"/>
    <w:rsid w:val="000B199B"/>
    <w:rsid w:val="000C3F77"/>
    <w:rsid w:val="000E5BCA"/>
    <w:rsid w:val="000E62F4"/>
    <w:rsid w:val="000E69E1"/>
    <w:rsid w:val="000F0875"/>
    <w:rsid w:val="000F34A7"/>
    <w:rsid w:val="00146DED"/>
    <w:rsid w:val="00154FA3"/>
    <w:rsid w:val="001835FE"/>
    <w:rsid w:val="00186376"/>
    <w:rsid w:val="00192DB6"/>
    <w:rsid w:val="00196B34"/>
    <w:rsid w:val="001B5AAB"/>
    <w:rsid w:val="00244800"/>
    <w:rsid w:val="002709E4"/>
    <w:rsid w:val="002755B9"/>
    <w:rsid w:val="0028196B"/>
    <w:rsid w:val="002A53D7"/>
    <w:rsid w:val="002D4F22"/>
    <w:rsid w:val="002E33C6"/>
    <w:rsid w:val="002E7205"/>
    <w:rsid w:val="002F01BA"/>
    <w:rsid w:val="002F7F48"/>
    <w:rsid w:val="003012CF"/>
    <w:rsid w:val="00320670"/>
    <w:rsid w:val="003576AF"/>
    <w:rsid w:val="00371B60"/>
    <w:rsid w:val="003F45F8"/>
    <w:rsid w:val="00401664"/>
    <w:rsid w:val="00432BDD"/>
    <w:rsid w:val="004465D3"/>
    <w:rsid w:val="00475C45"/>
    <w:rsid w:val="00495081"/>
    <w:rsid w:val="004A0337"/>
    <w:rsid w:val="004D583D"/>
    <w:rsid w:val="005253E3"/>
    <w:rsid w:val="00554CC4"/>
    <w:rsid w:val="00567080"/>
    <w:rsid w:val="00594667"/>
    <w:rsid w:val="005C710A"/>
    <w:rsid w:val="005D0A6F"/>
    <w:rsid w:val="005D1E0A"/>
    <w:rsid w:val="005D5980"/>
    <w:rsid w:val="005F2F88"/>
    <w:rsid w:val="00630A1D"/>
    <w:rsid w:val="00630C06"/>
    <w:rsid w:val="00633A7D"/>
    <w:rsid w:val="00660E70"/>
    <w:rsid w:val="00664BF5"/>
    <w:rsid w:val="0069489A"/>
    <w:rsid w:val="006B5622"/>
    <w:rsid w:val="007E44BE"/>
    <w:rsid w:val="007F69E4"/>
    <w:rsid w:val="00800470"/>
    <w:rsid w:val="00811183"/>
    <w:rsid w:val="00881B57"/>
    <w:rsid w:val="008C658D"/>
    <w:rsid w:val="008D4032"/>
    <w:rsid w:val="008D715D"/>
    <w:rsid w:val="008D78D6"/>
    <w:rsid w:val="008E14FC"/>
    <w:rsid w:val="00954906"/>
    <w:rsid w:val="00954CA2"/>
    <w:rsid w:val="009961DF"/>
    <w:rsid w:val="009A5779"/>
    <w:rsid w:val="009F53CD"/>
    <w:rsid w:val="00A05BFA"/>
    <w:rsid w:val="00A4233E"/>
    <w:rsid w:val="00A816A3"/>
    <w:rsid w:val="00A9431E"/>
    <w:rsid w:val="00B444B8"/>
    <w:rsid w:val="00B45CD3"/>
    <w:rsid w:val="00B737FE"/>
    <w:rsid w:val="00B96BBF"/>
    <w:rsid w:val="00C01DE1"/>
    <w:rsid w:val="00C87A1B"/>
    <w:rsid w:val="00CB3AA4"/>
    <w:rsid w:val="00CF4F69"/>
    <w:rsid w:val="00D32BB9"/>
    <w:rsid w:val="00D4141D"/>
    <w:rsid w:val="00D64969"/>
    <w:rsid w:val="00DE6C25"/>
    <w:rsid w:val="00E23DB5"/>
    <w:rsid w:val="00E27BD5"/>
    <w:rsid w:val="00E5483A"/>
    <w:rsid w:val="00E67A92"/>
    <w:rsid w:val="00E81B1E"/>
    <w:rsid w:val="00E8242E"/>
    <w:rsid w:val="00E900C5"/>
    <w:rsid w:val="00ED6647"/>
    <w:rsid w:val="00F003AF"/>
    <w:rsid w:val="00FB2E43"/>
    <w:rsid w:val="00FC2B00"/>
    <w:rsid w:val="016263D0"/>
    <w:rsid w:val="01F413A9"/>
    <w:rsid w:val="04F45319"/>
    <w:rsid w:val="050F0972"/>
    <w:rsid w:val="07013F3A"/>
    <w:rsid w:val="08674270"/>
    <w:rsid w:val="091F675F"/>
    <w:rsid w:val="09537CA3"/>
    <w:rsid w:val="0A220727"/>
    <w:rsid w:val="0BD716D7"/>
    <w:rsid w:val="0C0B7609"/>
    <w:rsid w:val="0CDB6FDB"/>
    <w:rsid w:val="0CF56B33"/>
    <w:rsid w:val="0E1216A2"/>
    <w:rsid w:val="0EB75826"/>
    <w:rsid w:val="0F22525A"/>
    <w:rsid w:val="0FDB6C48"/>
    <w:rsid w:val="11E701D0"/>
    <w:rsid w:val="13E4703E"/>
    <w:rsid w:val="15D171CD"/>
    <w:rsid w:val="165D6CB3"/>
    <w:rsid w:val="18667529"/>
    <w:rsid w:val="195C76F5"/>
    <w:rsid w:val="1B556D95"/>
    <w:rsid w:val="1C2070AF"/>
    <w:rsid w:val="1D0165EA"/>
    <w:rsid w:val="1D407C62"/>
    <w:rsid w:val="204809D3"/>
    <w:rsid w:val="21894680"/>
    <w:rsid w:val="21BF054D"/>
    <w:rsid w:val="24083384"/>
    <w:rsid w:val="244D480A"/>
    <w:rsid w:val="24545C48"/>
    <w:rsid w:val="24FE13C2"/>
    <w:rsid w:val="25FF0E2B"/>
    <w:rsid w:val="279F6AFD"/>
    <w:rsid w:val="27BC2F80"/>
    <w:rsid w:val="284266C4"/>
    <w:rsid w:val="287665D2"/>
    <w:rsid w:val="2A15541B"/>
    <w:rsid w:val="2AB73E16"/>
    <w:rsid w:val="2DF857E7"/>
    <w:rsid w:val="30B23EAA"/>
    <w:rsid w:val="33464886"/>
    <w:rsid w:val="34537D68"/>
    <w:rsid w:val="369D33CF"/>
    <w:rsid w:val="36D14E27"/>
    <w:rsid w:val="370209E2"/>
    <w:rsid w:val="372E5DD5"/>
    <w:rsid w:val="37E666B0"/>
    <w:rsid w:val="38110A11"/>
    <w:rsid w:val="383A78C8"/>
    <w:rsid w:val="386A1B45"/>
    <w:rsid w:val="38F97266"/>
    <w:rsid w:val="38FE5C7B"/>
    <w:rsid w:val="39F204E9"/>
    <w:rsid w:val="39F33306"/>
    <w:rsid w:val="3A561602"/>
    <w:rsid w:val="3B4756B8"/>
    <w:rsid w:val="3CCB40C7"/>
    <w:rsid w:val="3FAF04E1"/>
    <w:rsid w:val="40311CF5"/>
    <w:rsid w:val="4134048C"/>
    <w:rsid w:val="418164BE"/>
    <w:rsid w:val="41D61A5B"/>
    <w:rsid w:val="44580936"/>
    <w:rsid w:val="44BF6C07"/>
    <w:rsid w:val="45933864"/>
    <w:rsid w:val="459368B6"/>
    <w:rsid w:val="45EC3A2B"/>
    <w:rsid w:val="460F14C8"/>
    <w:rsid w:val="46307A38"/>
    <w:rsid w:val="469014CD"/>
    <w:rsid w:val="470D1EAB"/>
    <w:rsid w:val="486D0181"/>
    <w:rsid w:val="49741731"/>
    <w:rsid w:val="4A7D0BF1"/>
    <w:rsid w:val="4B7B0569"/>
    <w:rsid w:val="4BC805B9"/>
    <w:rsid w:val="4E04765A"/>
    <w:rsid w:val="4E6D523C"/>
    <w:rsid w:val="4F8E7542"/>
    <w:rsid w:val="508067DE"/>
    <w:rsid w:val="52994AFB"/>
    <w:rsid w:val="529F391A"/>
    <w:rsid w:val="52A00FD0"/>
    <w:rsid w:val="552C5AF5"/>
    <w:rsid w:val="55627866"/>
    <w:rsid w:val="55F85AD5"/>
    <w:rsid w:val="560F1B9D"/>
    <w:rsid w:val="56BF65F2"/>
    <w:rsid w:val="56C90CBE"/>
    <w:rsid w:val="57E1562F"/>
    <w:rsid w:val="594352B9"/>
    <w:rsid w:val="5A7140A7"/>
    <w:rsid w:val="5B3B0C57"/>
    <w:rsid w:val="5BC326E1"/>
    <w:rsid w:val="5CB1707D"/>
    <w:rsid w:val="5CB56452"/>
    <w:rsid w:val="5D9C6140"/>
    <w:rsid w:val="5DAA7FFC"/>
    <w:rsid w:val="5E0314BA"/>
    <w:rsid w:val="60380296"/>
    <w:rsid w:val="60643345"/>
    <w:rsid w:val="617E0330"/>
    <w:rsid w:val="61B24D8B"/>
    <w:rsid w:val="624125B1"/>
    <w:rsid w:val="62720633"/>
    <w:rsid w:val="6283706E"/>
    <w:rsid w:val="62C3746A"/>
    <w:rsid w:val="64541E2E"/>
    <w:rsid w:val="64BE027E"/>
    <w:rsid w:val="65C37EAD"/>
    <w:rsid w:val="65EC5638"/>
    <w:rsid w:val="660109D5"/>
    <w:rsid w:val="66083B12"/>
    <w:rsid w:val="67566BF0"/>
    <w:rsid w:val="6780592A"/>
    <w:rsid w:val="683F3A37"/>
    <w:rsid w:val="69154154"/>
    <w:rsid w:val="6ACD607C"/>
    <w:rsid w:val="6BE242BC"/>
    <w:rsid w:val="6CCB3AEB"/>
    <w:rsid w:val="7141437C"/>
    <w:rsid w:val="729329B5"/>
    <w:rsid w:val="735B26D8"/>
    <w:rsid w:val="73A3131E"/>
    <w:rsid w:val="740D6797"/>
    <w:rsid w:val="74DB0643"/>
    <w:rsid w:val="74DE3C55"/>
    <w:rsid w:val="764F753B"/>
    <w:rsid w:val="7A3031E0"/>
    <w:rsid w:val="7B130D15"/>
    <w:rsid w:val="7B163930"/>
    <w:rsid w:val="7BD6763A"/>
    <w:rsid w:val="7C517CFF"/>
    <w:rsid w:val="7CDB795E"/>
    <w:rsid w:val="7CEA58C8"/>
    <w:rsid w:val="7DA84E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b/>
      <w:kern w:val="0"/>
      <w:sz w:val="36"/>
      <w:szCs w:val="36"/>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5"/>
    <w:qFormat/>
    <w:uiPriority w:val="0"/>
    <w:pPr>
      <w:jc w:val="left"/>
    </w:pPr>
  </w:style>
  <w:style w:type="paragraph" w:styleId="4">
    <w:name w:val="Balloon Text"/>
    <w:basedOn w:val="1"/>
    <w:link w:val="27"/>
    <w:qFormat/>
    <w:uiPriority w:val="0"/>
    <w:rPr>
      <w:sz w:val="18"/>
      <w:szCs w:val="18"/>
    </w:rPr>
  </w:style>
  <w:style w:type="paragraph" w:styleId="5">
    <w:name w:val="footer"/>
    <w:basedOn w:val="1"/>
    <w:link w:val="24"/>
    <w:qFormat/>
    <w:uiPriority w:val="0"/>
    <w:pPr>
      <w:tabs>
        <w:tab w:val="center" w:pos="4153"/>
        <w:tab w:val="right" w:pos="8306"/>
      </w:tabs>
      <w:snapToGrid w:val="0"/>
      <w:jc w:val="left"/>
    </w:pPr>
    <w:rPr>
      <w:sz w:val="18"/>
      <w:szCs w:val="18"/>
    </w:rPr>
  </w:style>
  <w:style w:type="paragraph" w:styleId="6">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line="330" w:lineRule="atLeast"/>
      <w:jc w:val="left"/>
    </w:pPr>
    <w:rPr>
      <w:rFonts w:ascii="宋体" w:hAnsi="宋体" w:cs="宋体"/>
      <w:color w:val="000000"/>
      <w:kern w:val="0"/>
      <w:szCs w:val="21"/>
    </w:rPr>
  </w:style>
  <w:style w:type="paragraph" w:styleId="8">
    <w:name w:val="annotation subject"/>
    <w:basedOn w:val="3"/>
    <w:next w:val="3"/>
    <w:link w:val="26"/>
    <w:qFormat/>
    <w:uiPriority w:val="0"/>
    <w:rPr>
      <w:b/>
      <w:bCs/>
    </w:rPr>
  </w:style>
  <w:style w:type="character" w:styleId="11">
    <w:name w:val="annotation reference"/>
    <w:basedOn w:val="10"/>
    <w:qFormat/>
    <w:uiPriority w:val="0"/>
    <w:rPr>
      <w:sz w:val="21"/>
      <w:szCs w:val="21"/>
    </w:rPr>
  </w:style>
  <w:style w:type="paragraph" w:customStyle="1" w:styleId="12">
    <w:name w:val="目次、标准名称标题"/>
    <w:basedOn w:val="13"/>
    <w:next w:val="14"/>
    <w:qFormat/>
    <w:uiPriority w:val="0"/>
    <w:pPr>
      <w:numPr>
        <w:numId w:val="0"/>
      </w:numPr>
      <w:tabs>
        <w:tab w:val="left" w:pos="360"/>
      </w:tabs>
      <w:spacing w:line="460" w:lineRule="exact"/>
    </w:pPr>
  </w:style>
  <w:style w:type="paragraph" w:customStyle="1" w:styleId="13">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三级条标题"/>
    <w:basedOn w:val="16"/>
    <w:next w:val="14"/>
    <w:qFormat/>
    <w:uiPriority w:val="0"/>
    <w:pPr>
      <w:numPr>
        <w:ilvl w:val="4"/>
      </w:numPr>
      <w:tabs>
        <w:tab w:val="left" w:pos="360"/>
      </w:tabs>
      <w:outlineLvl w:val="4"/>
    </w:pPr>
  </w:style>
  <w:style w:type="paragraph" w:customStyle="1" w:styleId="16">
    <w:name w:val="二级条标题"/>
    <w:basedOn w:val="17"/>
    <w:next w:val="14"/>
    <w:qFormat/>
    <w:uiPriority w:val="0"/>
    <w:pPr>
      <w:numPr>
        <w:ilvl w:val="3"/>
      </w:numPr>
      <w:tabs>
        <w:tab w:val="left" w:pos="360"/>
      </w:tabs>
      <w:outlineLvl w:val="3"/>
    </w:pPr>
  </w:style>
  <w:style w:type="paragraph" w:customStyle="1" w:styleId="17">
    <w:name w:val="一级条标题"/>
    <w:basedOn w:val="18"/>
    <w:next w:val="14"/>
    <w:qFormat/>
    <w:uiPriority w:val="0"/>
    <w:pPr>
      <w:numPr>
        <w:ilvl w:val="2"/>
      </w:numPr>
      <w:tabs>
        <w:tab w:val="left" w:pos="360"/>
      </w:tabs>
      <w:spacing w:beforeLines="0" w:afterLines="0"/>
      <w:outlineLvl w:val="2"/>
    </w:pPr>
  </w:style>
  <w:style w:type="paragraph" w:customStyle="1" w:styleId="18">
    <w:name w:val="章标题"/>
    <w:next w:val="14"/>
    <w:qFormat/>
    <w:uiPriority w:val="0"/>
    <w:pPr>
      <w:numPr>
        <w:ilvl w:val="1"/>
        <w:numId w:val="1"/>
      </w:numPr>
      <w:tabs>
        <w:tab w:val="left" w:pos="360"/>
      </w:tabs>
      <w:spacing w:beforeLines="50" w:afterLines="50"/>
      <w:jc w:val="both"/>
      <w:outlineLvl w:val="1"/>
    </w:pPr>
    <w:rPr>
      <w:rFonts w:ascii="黑体" w:hAnsi="Times New Roman" w:eastAsia="黑体" w:cs="Times New Roman"/>
      <w:sz w:val="21"/>
      <w:lang w:val="en-US" w:eastAsia="zh-CN" w:bidi="ar-SA"/>
    </w:rPr>
  </w:style>
  <w:style w:type="character" w:customStyle="1" w:styleId="19">
    <w:name w:val="fontstyle01"/>
    <w:basedOn w:val="10"/>
    <w:qFormat/>
    <w:uiPriority w:val="0"/>
    <w:rPr>
      <w:rFonts w:ascii="宋体" w:hAnsi="宋体" w:eastAsia="宋体" w:cs="宋体"/>
      <w:color w:val="FFFFFF"/>
      <w:sz w:val="18"/>
      <w:szCs w:val="18"/>
    </w:rPr>
  </w:style>
  <w:style w:type="character" w:customStyle="1" w:styleId="20">
    <w:name w:val="fontstyle21"/>
    <w:basedOn w:val="10"/>
    <w:qFormat/>
    <w:uiPriority w:val="0"/>
    <w:rPr>
      <w:rFonts w:ascii="B5 + CAJSymbolA" w:hAnsi="B5 + CAJSymbolA" w:eastAsia="B5 + CAJSymbolA" w:cs="B5 + CAJSymbolA"/>
      <w:color w:val="FFFFFF"/>
      <w:sz w:val="6"/>
      <w:szCs w:val="6"/>
    </w:rPr>
  </w:style>
  <w:style w:type="character" w:customStyle="1" w:styleId="21">
    <w:name w:val="font11"/>
    <w:basedOn w:val="10"/>
    <w:qFormat/>
    <w:uiPriority w:val="0"/>
    <w:rPr>
      <w:rFonts w:hint="eastAsia" w:ascii="宋体" w:hAnsi="宋体" w:eastAsia="宋体" w:cs="宋体"/>
      <w:color w:val="000000"/>
      <w:sz w:val="21"/>
      <w:szCs w:val="21"/>
      <w:u w:val="none"/>
    </w:rPr>
  </w:style>
  <w:style w:type="character" w:customStyle="1" w:styleId="22">
    <w:name w:val="font01"/>
    <w:basedOn w:val="10"/>
    <w:qFormat/>
    <w:uiPriority w:val="0"/>
    <w:rPr>
      <w:rFonts w:ascii="Arial" w:hAnsi="Arial" w:cs="Arial"/>
      <w:color w:val="000000"/>
      <w:sz w:val="21"/>
      <w:szCs w:val="21"/>
      <w:u w:val="none"/>
    </w:rPr>
  </w:style>
  <w:style w:type="character" w:customStyle="1" w:styleId="23">
    <w:name w:val="页眉 字符"/>
    <w:basedOn w:val="10"/>
    <w:link w:val="6"/>
    <w:qFormat/>
    <w:uiPriority w:val="0"/>
    <w:rPr>
      <w:kern w:val="2"/>
      <w:sz w:val="18"/>
      <w:szCs w:val="18"/>
    </w:rPr>
  </w:style>
  <w:style w:type="character" w:customStyle="1" w:styleId="24">
    <w:name w:val="页脚 字符"/>
    <w:basedOn w:val="10"/>
    <w:link w:val="5"/>
    <w:qFormat/>
    <w:uiPriority w:val="0"/>
    <w:rPr>
      <w:kern w:val="2"/>
      <w:sz w:val="18"/>
      <w:szCs w:val="18"/>
    </w:rPr>
  </w:style>
  <w:style w:type="character" w:customStyle="1" w:styleId="25">
    <w:name w:val="批注文字 字符"/>
    <w:basedOn w:val="10"/>
    <w:link w:val="3"/>
    <w:qFormat/>
    <w:uiPriority w:val="0"/>
    <w:rPr>
      <w:kern w:val="2"/>
      <w:sz w:val="21"/>
      <w:szCs w:val="24"/>
    </w:rPr>
  </w:style>
  <w:style w:type="character" w:customStyle="1" w:styleId="26">
    <w:name w:val="批注主题 字符"/>
    <w:basedOn w:val="25"/>
    <w:link w:val="8"/>
    <w:qFormat/>
    <w:uiPriority w:val="0"/>
    <w:rPr>
      <w:b/>
      <w:bCs/>
      <w:kern w:val="2"/>
      <w:sz w:val="21"/>
      <w:szCs w:val="24"/>
    </w:rPr>
  </w:style>
  <w:style w:type="character" w:customStyle="1" w:styleId="27">
    <w:name w:val="批注框文本 字符"/>
    <w:basedOn w:val="10"/>
    <w:link w:val="4"/>
    <w:qFormat/>
    <w:uiPriority w:val="0"/>
    <w:rPr>
      <w:kern w:val="2"/>
      <w:sz w:val="18"/>
      <w:szCs w:val="18"/>
    </w:rPr>
  </w:style>
  <w:style w:type="paragraph" w:customStyle="1" w:styleId="28">
    <w:name w:val="标准文件_一级条标题"/>
    <w:basedOn w:val="1"/>
    <w:next w:val="1"/>
    <w:qFormat/>
    <w:uiPriority w:val="0"/>
    <w:pPr>
      <w:widowControl/>
      <w:numPr>
        <w:ilvl w:val="2"/>
        <w:numId w:val="2"/>
      </w:numPr>
      <w:spacing w:beforeLines="50" w:afterLines="50"/>
      <w:outlineLvl w:val="1"/>
    </w:pPr>
    <w:rPr>
      <w:rFonts w:ascii="黑体" w:eastAsia="黑体"/>
      <w:kern w:val="0"/>
      <w:szCs w:val="20"/>
    </w:rPr>
  </w:style>
  <w:style w:type="paragraph" w:customStyle="1" w:styleId="2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2236</Words>
  <Characters>2314</Characters>
  <Lines>14</Lines>
  <Paragraphs>4</Paragraphs>
  <TotalTime>2</TotalTime>
  <ScaleCrop>false</ScaleCrop>
  <LinksUpToDate>false</LinksUpToDate>
  <CharactersWithSpaces>2331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2019-03-03T03:25:00Z</dcterms:created>
  <dc:creator>乐乐</dc:creator>
  <cp:lastModifiedBy>虎哥</cp:lastModifiedBy>
  <dcterms:modified xsi:type="dcterms:W3CDTF">2023-10-02T08:39:20Z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405701EE539D4D50842A69E1F524FA89</vt:lpwstr>
  </property>
</Properties>
</file>